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6B36C">
      <w:pPr>
        <w:spacing w:before="50" w:after="50"/>
        <w:jc w:val="left"/>
        <w:rPr>
          <w:rFonts w:ascii="宋体" w:hAnsi="宋体" w:eastAsia="宋体" w:cs="宋体"/>
          <w:b/>
          <w:bCs/>
          <w:color w:val="auto"/>
          <w:kern w:val="0"/>
          <w:sz w:val="48"/>
          <w:szCs w:val="48"/>
          <w:highlight w:val="none"/>
        </w:rPr>
      </w:pPr>
      <w:bookmarkStart w:id="34" w:name="_GoBack"/>
      <w:bookmarkEnd w:id="34"/>
    </w:p>
    <w:p w14:paraId="54386BFC">
      <w:pPr>
        <w:jc w:val="center"/>
        <w:rPr>
          <w:rFonts w:cs="宋体" w:asciiTheme="minorEastAsia" w:hAnsiTheme="minorEastAsia"/>
          <w:b/>
          <w:bCs/>
          <w:color w:val="auto"/>
          <w:kern w:val="0"/>
          <w:sz w:val="72"/>
          <w:szCs w:val="53"/>
          <w:highlight w:val="none"/>
        </w:rPr>
      </w:pPr>
      <w:r>
        <w:rPr>
          <w:rFonts w:cs="宋体" w:asciiTheme="minorEastAsia" w:hAnsiTheme="minorEastAsia"/>
          <w:b/>
          <w:bCs/>
          <w:color w:val="auto"/>
          <w:kern w:val="0"/>
          <w:sz w:val="72"/>
          <w:szCs w:val="53"/>
          <w:highlight w:val="none"/>
        </w:rPr>
        <w:t>福建省政府采购</w:t>
      </w:r>
    </w:p>
    <w:p w14:paraId="1F10FE27">
      <w:pPr>
        <w:jc w:val="center"/>
        <w:rPr>
          <w:rFonts w:cs="宋体" w:asciiTheme="minorEastAsia" w:hAnsiTheme="minorEastAsia"/>
          <w:b/>
          <w:bCs/>
          <w:color w:val="auto"/>
          <w:kern w:val="0"/>
          <w:sz w:val="72"/>
          <w:szCs w:val="53"/>
          <w:highlight w:val="none"/>
        </w:rPr>
      </w:pPr>
      <w:r>
        <w:rPr>
          <w:rFonts w:cs="宋体" w:asciiTheme="minorEastAsia" w:hAnsiTheme="minorEastAsia"/>
          <w:b/>
          <w:bCs/>
          <w:color w:val="auto"/>
          <w:kern w:val="0"/>
          <w:sz w:val="72"/>
          <w:szCs w:val="53"/>
          <w:highlight w:val="none"/>
        </w:rPr>
        <w:t>货物和服务项目</w:t>
      </w:r>
    </w:p>
    <w:p w14:paraId="71C39F5E">
      <w:pPr>
        <w:jc w:val="center"/>
        <w:rPr>
          <w:rFonts w:cs="宋体" w:asciiTheme="minorEastAsia" w:hAnsiTheme="minorEastAsia"/>
          <w:b/>
          <w:bCs/>
          <w:color w:val="auto"/>
          <w:kern w:val="0"/>
          <w:sz w:val="72"/>
          <w:szCs w:val="53"/>
          <w:highlight w:val="none"/>
        </w:rPr>
      </w:pPr>
      <w:r>
        <w:rPr>
          <w:rFonts w:cs="宋体" w:asciiTheme="minorEastAsia" w:hAnsiTheme="minorEastAsia"/>
          <w:b/>
          <w:bCs/>
          <w:color w:val="auto"/>
          <w:kern w:val="0"/>
          <w:sz w:val="72"/>
          <w:szCs w:val="53"/>
          <w:highlight w:val="none"/>
        </w:rPr>
        <w:t>公开招标文件</w:t>
      </w:r>
    </w:p>
    <w:p w14:paraId="7278E7E1">
      <w:pPr>
        <w:jc w:val="center"/>
        <w:rPr>
          <w:rFonts w:cs="宋体" w:asciiTheme="minorEastAsia" w:hAnsiTheme="minorEastAsia"/>
          <w:b/>
          <w:bCs/>
          <w:color w:val="auto"/>
          <w:kern w:val="0"/>
          <w:sz w:val="72"/>
          <w:szCs w:val="53"/>
          <w:highlight w:val="none"/>
        </w:rPr>
      </w:pPr>
    </w:p>
    <w:p w14:paraId="71DC52A9">
      <w:pPr>
        <w:spacing w:line="360" w:lineRule="auto"/>
        <w:jc w:val="center"/>
        <w:rPr>
          <w:rFonts w:hint="eastAsia" w:cs="宋体" w:asciiTheme="minorEastAsia" w:hAnsiTheme="minorEastAsia" w:eastAsiaTheme="minorEastAsia"/>
          <w:b/>
          <w:bCs/>
          <w:color w:val="auto"/>
          <w:kern w:val="0"/>
          <w:sz w:val="32"/>
          <w:szCs w:val="32"/>
          <w:highlight w:val="none"/>
          <w:lang w:eastAsia="zh-CN"/>
        </w:rPr>
      </w:pPr>
      <w:r>
        <w:rPr>
          <w:rFonts w:cs="宋体" w:asciiTheme="minorEastAsia" w:hAnsiTheme="minorEastAsia"/>
          <w:b/>
          <w:bCs/>
          <w:color w:val="auto"/>
          <w:kern w:val="0"/>
          <w:sz w:val="32"/>
          <w:szCs w:val="32"/>
          <w:highlight w:val="none"/>
        </w:rPr>
        <w:t>项目名称：</w:t>
      </w:r>
      <w:r>
        <w:rPr>
          <w:rFonts w:hint="eastAsia" w:cs="宋体" w:asciiTheme="minorEastAsia" w:hAnsiTheme="minorEastAsia"/>
          <w:b/>
          <w:bCs/>
          <w:color w:val="auto"/>
          <w:kern w:val="0"/>
          <w:sz w:val="32"/>
          <w:szCs w:val="32"/>
          <w:highlight w:val="none"/>
          <w:lang w:eastAsia="zh-CN"/>
        </w:rPr>
        <w:t>厦门市卫生健康委员会(厦门市医用设备集中采购工作专班)核酸质谱系统统招分签采购项目</w:t>
      </w:r>
    </w:p>
    <w:p w14:paraId="617D37E9">
      <w:pPr>
        <w:spacing w:line="360" w:lineRule="auto"/>
        <w:jc w:val="center"/>
        <w:rPr>
          <w:rFonts w:cs="宋体" w:asciiTheme="minorEastAsia" w:hAnsiTheme="minorEastAsia"/>
          <w:b/>
          <w:bCs/>
          <w:color w:val="auto"/>
          <w:kern w:val="0"/>
          <w:sz w:val="32"/>
          <w:szCs w:val="32"/>
          <w:highlight w:val="none"/>
        </w:rPr>
      </w:pPr>
      <w:r>
        <w:rPr>
          <w:rFonts w:cs="宋体" w:asciiTheme="minorEastAsia" w:hAnsiTheme="minorEastAsia"/>
          <w:b/>
          <w:bCs/>
          <w:color w:val="auto"/>
          <w:kern w:val="0"/>
          <w:sz w:val="32"/>
          <w:szCs w:val="32"/>
          <w:highlight w:val="none"/>
        </w:rPr>
        <w:t>备案编号：</w:t>
      </w:r>
    </w:p>
    <w:p w14:paraId="09557047">
      <w:pPr>
        <w:spacing w:line="360" w:lineRule="auto"/>
        <w:jc w:val="center"/>
        <w:rPr>
          <w:rFonts w:cs="宋体" w:asciiTheme="minorEastAsia" w:hAnsiTheme="minorEastAsia"/>
          <w:b/>
          <w:bCs/>
          <w:color w:val="auto"/>
          <w:kern w:val="0"/>
          <w:sz w:val="32"/>
          <w:szCs w:val="32"/>
          <w:highlight w:val="none"/>
        </w:rPr>
      </w:pPr>
      <w:r>
        <w:rPr>
          <w:rFonts w:cs="宋体" w:asciiTheme="minorEastAsia" w:hAnsiTheme="minorEastAsia"/>
          <w:b/>
          <w:bCs/>
          <w:color w:val="auto"/>
          <w:kern w:val="0"/>
          <w:sz w:val="32"/>
          <w:szCs w:val="32"/>
          <w:highlight w:val="none"/>
        </w:rPr>
        <w:t>项目编号：</w:t>
      </w:r>
    </w:p>
    <w:p w14:paraId="34509D42">
      <w:pPr>
        <w:spacing w:line="360" w:lineRule="auto"/>
        <w:jc w:val="center"/>
        <w:rPr>
          <w:rFonts w:cs="宋体" w:asciiTheme="minorEastAsia" w:hAnsiTheme="minorEastAsia"/>
          <w:b/>
          <w:bCs/>
          <w:color w:val="auto"/>
          <w:kern w:val="0"/>
          <w:sz w:val="32"/>
          <w:szCs w:val="32"/>
          <w:highlight w:val="none"/>
        </w:rPr>
      </w:pPr>
    </w:p>
    <w:p w14:paraId="3D6DA162">
      <w:pPr>
        <w:spacing w:line="360" w:lineRule="auto"/>
        <w:jc w:val="center"/>
        <w:rPr>
          <w:rFonts w:cs="宋体" w:asciiTheme="minorEastAsia" w:hAnsiTheme="minorEastAsia"/>
          <w:b/>
          <w:bCs/>
          <w:color w:val="auto"/>
          <w:kern w:val="0"/>
          <w:sz w:val="32"/>
          <w:szCs w:val="32"/>
          <w:highlight w:val="none"/>
        </w:rPr>
      </w:pPr>
    </w:p>
    <w:p w14:paraId="357D7030">
      <w:pPr>
        <w:spacing w:line="360" w:lineRule="auto"/>
        <w:jc w:val="center"/>
        <w:rPr>
          <w:rFonts w:hint="eastAsia" w:cs="宋体" w:asciiTheme="minorEastAsia" w:hAnsiTheme="minorEastAsia" w:eastAsiaTheme="minorEastAsia"/>
          <w:b/>
          <w:bCs/>
          <w:color w:val="auto"/>
          <w:kern w:val="0"/>
          <w:sz w:val="32"/>
          <w:szCs w:val="32"/>
          <w:highlight w:val="none"/>
          <w:lang w:eastAsia="zh-CN"/>
        </w:rPr>
      </w:pPr>
      <w:r>
        <w:rPr>
          <w:rFonts w:cs="宋体" w:asciiTheme="minorEastAsia" w:hAnsiTheme="minorEastAsia"/>
          <w:b/>
          <w:bCs/>
          <w:color w:val="auto"/>
          <w:kern w:val="0"/>
          <w:sz w:val="32"/>
          <w:szCs w:val="32"/>
          <w:highlight w:val="none"/>
        </w:rPr>
        <w:t>采购人：</w:t>
      </w:r>
      <w:r>
        <w:rPr>
          <w:rFonts w:hint="eastAsia" w:cs="宋体" w:asciiTheme="minorEastAsia" w:hAnsiTheme="minorEastAsia"/>
          <w:b/>
          <w:bCs/>
          <w:color w:val="auto"/>
          <w:kern w:val="0"/>
          <w:sz w:val="32"/>
          <w:szCs w:val="32"/>
          <w:highlight w:val="none"/>
          <w:lang w:eastAsia="zh-CN"/>
        </w:rPr>
        <w:t>厦门市卫生健康委员会</w:t>
      </w:r>
    </w:p>
    <w:p w14:paraId="1864F988">
      <w:pPr>
        <w:spacing w:line="360" w:lineRule="auto"/>
        <w:jc w:val="center"/>
        <w:rPr>
          <w:rFonts w:hint="eastAsia" w:cs="宋体" w:asciiTheme="minorEastAsia" w:hAnsiTheme="minorEastAsia" w:eastAsiaTheme="minorEastAsia"/>
          <w:b/>
          <w:bCs/>
          <w:color w:val="auto"/>
          <w:kern w:val="0"/>
          <w:sz w:val="32"/>
          <w:szCs w:val="32"/>
          <w:highlight w:val="none"/>
          <w:lang w:eastAsia="zh-CN"/>
        </w:rPr>
      </w:pPr>
      <w:r>
        <w:rPr>
          <w:rFonts w:cs="宋体" w:asciiTheme="minorEastAsia" w:hAnsiTheme="minorEastAsia"/>
          <w:b/>
          <w:bCs/>
          <w:color w:val="auto"/>
          <w:kern w:val="0"/>
          <w:sz w:val="32"/>
          <w:szCs w:val="32"/>
          <w:highlight w:val="none"/>
        </w:rPr>
        <w:t>代理机构：</w:t>
      </w:r>
      <w:r>
        <w:rPr>
          <w:rFonts w:hint="eastAsia" w:cs="宋体" w:asciiTheme="minorEastAsia" w:hAnsiTheme="minorEastAsia"/>
          <w:b/>
          <w:bCs/>
          <w:color w:val="auto"/>
          <w:kern w:val="0"/>
          <w:sz w:val="32"/>
          <w:szCs w:val="32"/>
          <w:highlight w:val="none"/>
          <w:lang w:eastAsia="zh-CN"/>
        </w:rPr>
        <w:t>厦门市公物投资管理有限公司</w:t>
      </w:r>
    </w:p>
    <w:p w14:paraId="31D827D2">
      <w:pPr>
        <w:spacing w:line="360" w:lineRule="auto"/>
        <w:jc w:val="center"/>
        <w:rPr>
          <w:rFonts w:cs="宋体" w:asciiTheme="minorEastAsia" w:hAnsiTheme="minorEastAsia"/>
          <w:b/>
          <w:bCs/>
          <w:color w:val="auto"/>
          <w:kern w:val="0"/>
          <w:sz w:val="32"/>
          <w:szCs w:val="32"/>
          <w:highlight w:val="none"/>
        </w:rPr>
      </w:pPr>
      <w:r>
        <w:rPr>
          <w:rFonts w:cs="宋体" w:asciiTheme="minorEastAsia" w:hAnsiTheme="minorEastAsia"/>
          <w:b/>
          <w:bCs/>
          <w:color w:val="auto"/>
          <w:kern w:val="0"/>
          <w:sz w:val="32"/>
          <w:szCs w:val="32"/>
          <w:highlight w:val="none"/>
        </w:rPr>
        <w:t> </w:t>
      </w:r>
    </w:p>
    <w:p w14:paraId="23F25961">
      <w:pPr>
        <w:spacing w:line="360" w:lineRule="auto"/>
        <w:jc w:val="center"/>
        <w:rPr>
          <w:rFonts w:cs="宋体" w:asciiTheme="minorEastAsia" w:hAnsiTheme="minorEastAsia"/>
          <w:b/>
          <w:bCs/>
          <w:color w:val="auto"/>
          <w:kern w:val="0"/>
          <w:sz w:val="32"/>
          <w:szCs w:val="32"/>
          <w:highlight w:val="none"/>
        </w:rPr>
      </w:pPr>
      <w:r>
        <w:rPr>
          <w:rFonts w:hint="eastAsia" w:cs="宋体" w:asciiTheme="minorEastAsia" w:hAnsiTheme="minorEastAsia"/>
          <w:b/>
          <w:bCs/>
          <w:color w:val="auto"/>
          <w:kern w:val="0"/>
          <w:sz w:val="32"/>
          <w:szCs w:val="32"/>
          <w:highlight w:val="none"/>
        </w:rPr>
        <w:t>编制时间：</w:t>
      </w:r>
      <w:r>
        <w:rPr>
          <w:rFonts w:cs="宋体" w:asciiTheme="minorEastAsia" w:hAnsiTheme="minorEastAsia"/>
          <w:b/>
          <w:bCs/>
          <w:color w:val="auto"/>
          <w:kern w:val="0"/>
          <w:sz w:val="32"/>
          <w:szCs w:val="32"/>
          <w:highlight w:val="none"/>
        </w:rPr>
        <w:t>202</w:t>
      </w:r>
      <w:r>
        <w:rPr>
          <w:rFonts w:hint="eastAsia" w:cs="宋体" w:asciiTheme="minorEastAsia" w:hAnsiTheme="minorEastAsia"/>
          <w:b/>
          <w:bCs/>
          <w:color w:val="auto"/>
          <w:kern w:val="0"/>
          <w:sz w:val="32"/>
          <w:szCs w:val="32"/>
          <w:highlight w:val="none"/>
        </w:rPr>
        <w:t>6</w:t>
      </w:r>
      <w:r>
        <w:rPr>
          <w:rFonts w:cs="宋体" w:asciiTheme="minorEastAsia" w:hAnsiTheme="minorEastAsia"/>
          <w:b/>
          <w:bCs/>
          <w:color w:val="auto"/>
          <w:kern w:val="0"/>
          <w:sz w:val="32"/>
          <w:szCs w:val="32"/>
          <w:highlight w:val="none"/>
        </w:rPr>
        <w:t>年</w:t>
      </w:r>
      <w:r>
        <w:rPr>
          <w:rFonts w:hint="eastAsia" w:cs="宋体" w:asciiTheme="minorEastAsia" w:hAnsiTheme="minorEastAsia"/>
          <w:b/>
          <w:bCs/>
          <w:color w:val="auto"/>
          <w:kern w:val="0"/>
          <w:sz w:val="32"/>
          <w:szCs w:val="32"/>
          <w:highlight w:val="none"/>
          <w:lang w:val="en-US" w:eastAsia="zh-CN"/>
        </w:rPr>
        <w:t>3</w:t>
      </w:r>
      <w:r>
        <w:rPr>
          <w:rFonts w:cs="宋体" w:asciiTheme="minorEastAsia" w:hAnsiTheme="minorEastAsia"/>
          <w:b/>
          <w:bCs/>
          <w:color w:val="auto"/>
          <w:kern w:val="0"/>
          <w:sz w:val="32"/>
          <w:szCs w:val="32"/>
          <w:highlight w:val="none"/>
        </w:rPr>
        <w:t>月</w:t>
      </w:r>
    </w:p>
    <w:p w14:paraId="472A30EA">
      <w:pPr>
        <w:rPr>
          <w:color w:val="auto"/>
          <w:highlight w:val="none"/>
        </w:rPr>
        <w:sectPr>
          <w:footerReference r:id="rId3" w:type="default"/>
          <w:pgSz w:w="11906" w:h="16838"/>
          <w:pgMar w:top="1418" w:right="1418" w:bottom="1418" w:left="1418" w:header="851" w:footer="992" w:gutter="0"/>
          <w:cols w:space="425" w:num="1"/>
          <w:docGrid w:type="lines" w:linePitch="312" w:charSpace="0"/>
        </w:sectPr>
      </w:pPr>
    </w:p>
    <w:sdt>
      <w:sdtPr>
        <w:rPr>
          <w:rFonts w:asciiTheme="minorHAnsi" w:hAnsiTheme="minorHAnsi" w:eastAsiaTheme="minorEastAsia" w:cstheme="minorBidi"/>
          <w:b w:val="0"/>
          <w:bCs w:val="0"/>
          <w:color w:val="auto"/>
          <w:kern w:val="2"/>
          <w:sz w:val="21"/>
          <w:szCs w:val="22"/>
          <w:highlight w:val="none"/>
          <w:lang w:val="zh-CN"/>
        </w:rPr>
        <w:id w:val="431192922"/>
        <w:docPartObj>
          <w:docPartGallery w:val="Table of Contents"/>
          <w:docPartUnique/>
        </w:docPartObj>
      </w:sdtPr>
      <w:sdtEndPr>
        <w:rPr>
          <w:rFonts w:asciiTheme="minorEastAsia" w:hAnsiTheme="minorEastAsia" w:eastAsiaTheme="minorEastAsia" w:cstheme="minorBidi"/>
          <w:b w:val="0"/>
          <w:bCs w:val="0"/>
          <w:color w:val="auto"/>
          <w:kern w:val="2"/>
          <w:sz w:val="24"/>
          <w:szCs w:val="24"/>
          <w:highlight w:val="none"/>
          <w:lang w:val="en-US"/>
        </w:rPr>
      </w:sdtEndPr>
      <w:sdtContent>
        <w:p w14:paraId="0FA145B4">
          <w:pPr>
            <w:pStyle w:val="47"/>
            <w:widowControl w:val="0"/>
            <w:spacing w:beforeLines="50" w:afterLines="50" w:line="240" w:lineRule="auto"/>
            <w:jc w:val="center"/>
            <w:rPr>
              <w:color w:val="auto"/>
              <w:sz w:val="32"/>
              <w:highlight w:val="none"/>
            </w:rPr>
          </w:pPr>
          <w:r>
            <w:rPr>
              <w:color w:val="auto"/>
              <w:sz w:val="32"/>
              <w:highlight w:val="none"/>
              <w:lang w:val="zh-CN"/>
            </w:rPr>
            <w:t>目</w:t>
          </w:r>
          <w:r>
            <w:rPr>
              <w:rFonts w:hint="eastAsia"/>
              <w:color w:val="auto"/>
              <w:sz w:val="32"/>
              <w:highlight w:val="none"/>
              <w:lang w:val="zh-CN"/>
            </w:rPr>
            <w:t xml:space="preserve">  </w:t>
          </w:r>
          <w:r>
            <w:rPr>
              <w:color w:val="auto"/>
              <w:sz w:val="32"/>
              <w:highlight w:val="none"/>
              <w:lang w:val="zh-CN"/>
            </w:rPr>
            <w:t>录</w:t>
          </w:r>
        </w:p>
        <w:p w14:paraId="553C913D">
          <w:pPr>
            <w:pStyle w:val="13"/>
            <w:tabs>
              <w:tab w:val="right" w:leader="dot" w:pos="9060"/>
            </w:tabs>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TOC \o "1-3" \h \z \u </w:instrText>
          </w:r>
          <w:r>
            <w:rPr>
              <w:rFonts w:asciiTheme="minorEastAsia" w:hAnsiTheme="minorEastAsia"/>
              <w:color w:val="auto"/>
              <w:sz w:val="24"/>
              <w:szCs w:val="24"/>
              <w:highlight w:val="none"/>
            </w:rPr>
            <w:fldChar w:fldCharType="separate"/>
          </w:r>
          <w:r>
            <w:rPr>
              <w:color w:val="auto"/>
              <w:highlight w:val="none"/>
            </w:rPr>
            <w:fldChar w:fldCharType="begin"/>
          </w:r>
          <w:r>
            <w:rPr>
              <w:color w:val="auto"/>
              <w:highlight w:val="none"/>
            </w:rPr>
            <w:instrText xml:space="preserve"> HYPERLINK \l "_Toc139103779"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第一章</w:t>
          </w:r>
          <w:r>
            <w:rPr>
              <w:rStyle w:val="21"/>
              <w:rFonts w:cs="Times New Roman" w:asciiTheme="minorEastAsia" w:hAnsiTheme="minorEastAsia"/>
              <w:color w:val="auto"/>
              <w:kern w:val="0"/>
              <w:sz w:val="24"/>
              <w:szCs w:val="24"/>
              <w:highlight w:val="none"/>
            </w:rPr>
            <w:t xml:space="preserve">  </w:t>
          </w:r>
          <w:r>
            <w:rPr>
              <w:rStyle w:val="21"/>
              <w:rFonts w:hint="eastAsia" w:cs="Times New Roman" w:asciiTheme="minorEastAsia" w:hAnsiTheme="minorEastAsia"/>
              <w:color w:val="auto"/>
              <w:kern w:val="0"/>
              <w:sz w:val="24"/>
              <w:szCs w:val="24"/>
              <w:highlight w:val="none"/>
            </w:rPr>
            <w:t>投标邀请</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_Toc139103779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3</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20E53813">
          <w:pPr>
            <w:pStyle w:val="13"/>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"_Toc139103780"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第二章</w:t>
          </w:r>
          <w:r>
            <w:rPr>
              <w:rStyle w:val="21"/>
              <w:rFonts w:cs="Times New Roman" w:asciiTheme="minorEastAsia" w:hAnsiTheme="minorEastAsia"/>
              <w:color w:val="auto"/>
              <w:kern w:val="0"/>
              <w:sz w:val="24"/>
              <w:szCs w:val="24"/>
              <w:highlight w:val="none"/>
            </w:rPr>
            <w:t xml:space="preserve">  </w:t>
          </w:r>
          <w:r>
            <w:rPr>
              <w:rStyle w:val="21"/>
              <w:rFonts w:hint="eastAsia" w:cs="Times New Roman" w:asciiTheme="minorEastAsia" w:hAnsiTheme="minorEastAsia"/>
              <w:color w:val="auto"/>
              <w:kern w:val="0"/>
              <w:sz w:val="24"/>
              <w:szCs w:val="24"/>
              <w:highlight w:val="none"/>
            </w:rPr>
            <w:t>投标人须知前附表</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_Toc139103780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8</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6C5ED877">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"_Toc139103781"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一、投标人须知前附表</w:t>
          </w:r>
          <w:r>
            <w:rPr>
              <w:rStyle w:val="21"/>
              <w:rFonts w:cs="Times New Roman" w:asciiTheme="minorEastAsia" w:hAnsiTheme="minorEastAsia"/>
              <w:color w:val="auto"/>
              <w:kern w:val="0"/>
              <w:sz w:val="24"/>
              <w:szCs w:val="24"/>
              <w:highlight w:val="none"/>
            </w:rPr>
            <w:t>1</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_Toc139103781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8</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5DE87B8E">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"_Toc139103782"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二、投标人须知前附表</w:t>
          </w:r>
          <w:r>
            <w:rPr>
              <w:rStyle w:val="21"/>
              <w:rFonts w:cs="Times New Roman" w:asciiTheme="minorEastAsia" w:hAnsiTheme="minorEastAsia"/>
              <w:color w:val="auto"/>
              <w:kern w:val="0"/>
              <w:sz w:val="24"/>
              <w:szCs w:val="24"/>
              <w:highlight w:val="none"/>
            </w:rPr>
            <w:t>2</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_Toc139103782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10</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089DEC3D">
          <w:pPr>
            <w:pStyle w:val="13"/>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"_Toc139103783"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第三章</w:t>
          </w:r>
          <w:r>
            <w:rPr>
              <w:rStyle w:val="21"/>
              <w:rFonts w:cs="Times New Roman" w:asciiTheme="minorEastAsia" w:hAnsiTheme="minorEastAsia"/>
              <w:color w:val="auto"/>
              <w:kern w:val="0"/>
              <w:sz w:val="24"/>
              <w:szCs w:val="24"/>
              <w:highlight w:val="none"/>
            </w:rPr>
            <w:t xml:space="preserve">  </w:t>
          </w:r>
          <w:r>
            <w:rPr>
              <w:rStyle w:val="21"/>
              <w:rFonts w:hint="eastAsia" w:cs="Times New Roman" w:asciiTheme="minorEastAsia" w:hAnsiTheme="minorEastAsia"/>
              <w:color w:val="auto"/>
              <w:kern w:val="0"/>
              <w:sz w:val="24"/>
              <w:szCs w:val="24"/>
              <w:highlight w:val="none"/>
            </w:rPr>
            <w:t>投标人须知</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_Toc139103783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13</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31892E6B">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"_Toc139103784"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一、总则</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_Toc139103784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13</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25C62D1B">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"_Toc139103785"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二、投标人</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_Toc139103785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13</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4613F2D5">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"_Toc139103786"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三、招标</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_Toc139103786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14</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61710960">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"_Toc139103787"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四、投标</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_Toc139103787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16</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5FBD87A7">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"_Toc139103788"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五、开标</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_Toc139103788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21</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0784C74A">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"_Toc139103789"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六、中标与政府采购合同</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_Toc139103789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22</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0F886658">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"_Toc139103790"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七、询问、质疑与投诉</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_Toc139103790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23</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6F095776">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"_Toc139103791"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八、政府采购政策</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_Toc139103791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25</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50EC3CCC">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"_Toc139103792"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九、本项目的有关信息</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_Toc139103792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28</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161F3F73">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"_Toc139103793"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十、其他事项</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_Toc139103793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29</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0377F3CA">
          <w:pPr>
            <w:pStyle w:val="13"/>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"_Toc139103794"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第四章</w:t>
          </w:r>
          <w:r>
            <w:rPr>
              <w:rStyle w:val="21"/>
              <w:rFonts w:cs="Times New Roman" w:asciiTheme="minorEastAsia" w:hAnsiTheme="minorEastAsia"/>
              <w:color w:val="auto"/>
              <w:kern w:val="0"/>
              <w:sz w:val="24"/>
              <w:szCs w:val="24"/>
              <w:highlight w:val="none"/>
            </w:rPr>
            <w:t xml:space="preserve">  </w:t>
          </w:r>
          <w:r>
            <w:rPr>
              <w:rStyle w:val="21"/>
              <w:rFonts w:hint="eastAsia" w:cs="Times New Roman" w:asciiTheme="minorEastAsia" w:hAnsiTheme="minorEastAsia"/>
              <w:color w:val="auto"/>
              <w:kern w:val="0"/>
              <w:sz w:val="24"/>
              <w:szCs w:val="24"/>
              <w:highlight w:val="none"/>
            </w:rPr>
            <w:t>资格审查与评标</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_Toc139103794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30</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5D25B0C8">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"_Toc139103795"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一、资格审查</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_Toc139103795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30</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70FDF4D6">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"_Toc139103796"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二、评标</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_Toc139103796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35</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7F14C19F">
          <w:pPr>
            <w:pStyle w:val="13"/>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"_Toc139103797"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第五章</w:t>
          </w:r>
          <w:r>
            <w:rPr>
              <w:rStyle w:val="21"/>
              <w:rFonts w:cs="Times New Roman" w:asciiTheme="minorEastAsia" w:hAnsiTheme="minorEastAsia"/>
              <w:color w:val="auto"/>
              <w:kern w:val="0"/>
              <w:sz w:val="24"/>
              <w:szCs w:val="24"/>
              <w:highlight w:val="none"/>
            </w:rPr>
            <w:t xml:space="preserve">  </w:t>
          </w:r>
          <w:r>
            <w:rPr>
              <w:rStyle w:val="21"/>
              <w:rFonts w:hint="eastAsia" w:cs="Times New Roman" w:asciiTheme="minorEastAsia" w:hAnsiTheme="minorEastAsia"/>
              <w:color w:val="auto"/>
              <w:kern w:val="0"/>
              <w:sz w:val="24"/>
              <w:szCs w:val="24"/>
              <w:highlight w:val="none"/>
            </w:rPr>
            <w:t>招标内容及要求</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_Toc139103797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50</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39E8468B">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"_Toc139103798"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一、项目概况（采购标的）</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_Toc139103798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50</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677F55E1">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"_Toc139103799"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二、技术和服务要求</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_Toc139103799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50</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61AC2B06">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"_Toc139103800"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三、商务要求</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_Toc139103800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54</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0B4507C3">
          <w:pPr>
            <w:pStyle w:val="14"/>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"_Toc139103801"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四、其他事项</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_Toc139103801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70</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0B55C6F5">
          <w:pPr>
            <w:pStyle w:val="13"/>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"_Toc139103802"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第六章</w:t>
          </w:r>
          <w:r>
            <w:rPr>
              <w:rStyle w:val="21"/>
              <w:rFonts w:cs="Times New Roman" w:asciiTheme="minorEastAsia" w:hAnsiTheme="minorEastAsia"/>
              <w:color w:val="auto"/>
              <w:kern w:val="0"/>
              <w:sz w:val="24"/>
              <w:szCs w:val="24"/>
              <w:highlight w:val="none"/>
            </w:rPr>
            <w:t xml:space="preserve">  </w:t>
          </w:r>
          <w:r>
            <w:rPr>
              <w:rStyle w:val="21"/>
              <w:rFonts w:hint="eastAsia" w:cs="Times New Roman" w:asciiTheme="minorEastAsia" w:hAnsiTheme="minorEastAsia"/>
              <w:color w:val="auto"/>
              <w:kern w:val="0"/>
              <w:sz w:val="24"/>
              <w:szCs w:val="24"/>
              <w:highlight w:val="none"/>
            </w:rPr>
            <w:t>政府采购合同</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_Toc139103802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72</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5683BD81">
          <w:pPr>
            <w:pStyle w:val="13"/>
            <w:tabs>
              <w:tab w:val="right" w:leader="dot" w:pos="9060"/>
            </w:tabs>
            <w:spacing w:line="360" w:lineRule="auto"/>
            <w:rPr>
              <w:rFonts w:asciiTheme="minorEastAsia" w:hAnsiTheme="minorEastAsia"/>
              <w:color w:val="auto"/>
              <w:sz w:val="24"/>
              <w:szCs w:val="24"/>
              <w:highlight w:val="none"/>
            </w:rPr>
          </w:pPr>
          <w:r>
            <w:rPr>
              <w:color w:val="auto"/>
              <w:highlight w:val="none"/>
            </w:rPr>
            <w:fldChar w:fldCharType="begin"/>
          </w:r>
          <w:r>
            <w:rPr>
              <w:color w:val="auto"/>
              <w:highlight w:val="none"/>
            </w:rPr>
            <w:instrText xml:space="preserve"> HYPERLINK \l "_Toc139103803" </w:instrText>
          </w:r>
          <w:r>
            <w:rPr>
              <w:color w:val="auto"/>
              <w:highlight w:val="none"/>
            </w:rPr>
            <w:fldChar w:fldCharType="separate"/>
          </w:r>
          <w:r>
            <w:rPr>
              <w:rStyle w:val="21"/>
              <w:rFonts w:hint="eastAsia" w:cs="Times New Roman" w:asciiTheme="minorEastAsia" w:hAnsiTheme="minorEastAsia"/>
              <w:color w:val="auto"/>
              <w:kern w:val="0"/>
              <w:sz w:val="24"/>
              <w:szCs w:val="24"/>
              <w:highlight w:val="none"/>
            </w:rPr>
            <w:t>第七章</w:t>
          </w:r>
          <w:r>
            <w:rPr>
              <w:rStyle w:val="21"/>
              <w:rFonts w:cs="Times New Roman" w:asciiTheme="minorEastAsia" w:hAnsiTheme="minorEastAsia"/>
              <w:color w:val="auto"/>
              <w:kern w:val="0"/>
              <w:sz w:val="24"/>
              <w:szCs w:val="24"/>
              <w:highlight w:val="none"/>
            </w:rPr>
            <w:t xml:space="preserve">  </w:t>
          </w:r>
          <w:r>
            <w:rPr>
              <w:rStyle w:val="21"/>
              <w:rFonts w:hint="eastAsia" w:cs="Times New Roman" w:asciiTheme="minorEastAsia" w:hAnsiTheme="minorEastAsia"/>
              <w:color w:val="auto"/>
              <w:kern w:val="0"/>
              <w:sz w:val="24"/>
              <w:szCs w:val="24"/>
              <w:highlight w:val="none"/>
            </w:rPr>
            <w:t>电子投标文件格式</w:t>
          </w:r>
          <w:r>
            <w:rPr>
              <w:rFonts w:asciiTheme="minorEastAsia" w:hAnsiTheme="minorEastAsia"/>
              <w:color w:val="auto"/>
              <w:sz w:val="24"/>
              <w:szCs w:val="24"/>
              <w:highlight w:val="none"/>
            </w:rPr>
            <w:tab/>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PAGEREF _Toc139103803 \h </w:instrText>
          </w:r>
          <w:r>
            <w:rPr>
              <w:rFonts w:asciiTheme="minorEastAsia" w:hAnsiTheme="minorEastAsia"/>
              <w:color w:val="auto"/>
              <w:sz w:val="24"/>
              <w:szCs w:val="24"/>
              <w:highlight w:val="none"/>
            </w:rPr>
            <w:fldChar w:fldCharType="separate"/>
          </w:r>
          <w:r>
            <w:rPr>
              <w:rFonts w:asciiTheme="minorEastAsia" w:hAnsiTheme="minorEastAsia"/>
              <w:color w:val="auto"/>
              <w:sz w:val="24"/>
              <w:szCs w:val="24"/>
              <w:highlight w:val="none"/>
            </w:rPr>
            <w:t>87</w:t>
          </w:r>
          <w:r>
            <w:rPr>
              <w:rFonts w:asciiTheme="minorEastAsia" w:hAnsiTheme="minorEastAsia"/>
              <w:color w:val="auto"/>
              <w:sz w:val="24"/>
              <w:szCs w:val="24"/>
              <w:highlight w:val="none"/>
            </w:rPr>
            <w:fldChar w:fldCharType="end"/>
          </w:r>
          <w:r>
            <w:rPr>
              <w:rFonts w:asciiTheme="minorEastAsia" w:hAnsiTheme="minorEastAsia"/>
              <w:color w:val="auto"/>
              <w:sz w:val="24"/>
              <w:szCs w:val="24"/>
              <w:highlight w:val="none"/>
            </w:rPr>
            <w:fldChar w:fldCharType="end"/>
          </w:r>
        </w:p>
        <w:p w14:paraId="31D99BA5">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fldChar w:fldCharType="end"/>
          </w:r>
        </w:p>
      </w:sdtContent>
    </w:sdt>
    <w:p w14:paraId="2ABE067C">
      <w:pPr>
        <w:rPr>
          <w:color w:val="auto"/>
          <w:highlight w:val="none"/>
        </w:rPr>
      </w:pPr>
    </w:p>
    <w:p w14:paraId="3E64AD3A">
      <w:pPr>
        <w:rPr>
          <w:color w:val="auto"/>
          <w:highlight w:val="none"/>
        </w:rPr>
        <w:sectPr>
          <w:pgSz w:w="11906" w:h="16838"/>
          <w:pgMar w:top="1418" w:right="1418" w:bottom="1418" w:left="1418" w:header="851" w:footer="992" w:gutter="0"/>
          <w:cols w:space="425" w:num="1"/>
          <w:docGrid w:type="lines" w:linePitch="312" w:charSpace="0"/>
        </w:sectPr>
      </w:pPr>
    </w:p>
    <w:p w14:paraId="54DC7E30">
      <w:pPr>
        <w:pStyle w:val="2"/>
        <w:keepNext/>
        <w:keepLines/>
        <w:widowControl w:val="0"/>
        <w:spacing w:beforeLines="100" w:beforeAutospacing="0" w:afterLines="100" w:afterAutospacing="0"/>
        <w:jc w:val="center"/>
        <w:rPr>
          <w:rFonts w:ascii="黑体" w:hAnsi="黑体" w:eastAsia="黑体" w:cs="Times New Roman"/>
          <w:color w:val="auto"/>
          <w:kern w:val="0"/>
          <w:sz w:val="32"/>
          <w:szCs w:val="44"/>
          <w:highlight w:val="none"/>
        </w:rPr>
      </w:pPr>
      <w:bookmarkStart w:id="0" w:name="_Toc139103779"/>
      <w:r>
        <w:rPr>
          <w:rFonts w:ascii="黑体" w:hAnsi="黑体" w:eastAsia="黑体" w:cs="Times New Roman"/>
          <w:color w:val="auto"/>
          <w:kern w:val="0"/>
          <w:sz w:val="32"/>
          <w:szCs w:val="44"/>
          <w:highlight w:val="none"/>
        </w:rPr>
        <w:t>第一章</w:t>
      </w:r>
      <w:r>
        <w:rPr>
          <w:rFonts w:hint="eastAsia" w:ascii="黑体" w:hAnsi="黑体" w:eastAsia="黑体" w:cs="Times New Roman"/>
          <w:color w:val="auto"/>
          <w:kern w:val="0"/>
          <w:sz w:val="32"/>
          <w:szCs w:val="44"/>
          <w:highlight w:val="none"/>
        </w:rPr>
        <w:t xml:space="preserve">  </w:t>
      </w:r>
      <w:r>
        <w:rPr>
          <w:rFonts w:ascii="黑体" w:hAnsi="黑体" w:eastAsia="黑体" w:cs="Times New Roman"/>
          <w:color w:val="auto"/>
          <w:kern w:val="0"/>
          <w:sz w:val="32"/>
          <w:szCs w:val="44"/>
          <w:highlight w:val="none"/>
        </w:rPr>
        <w:t>投标邀请</w:t>
      </w:r>
      <w:bookmarkEnd w:id="0"/>
    </w:p>
    <w:p w14:paraId="588C7A0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采用公开招标方式组织</w:t>
      </w:r>
      <w:r>
        <w:rPr>
          <w:rFonts w:hint="eastAsia" w:asciiTheme="minorEastAsia" w:hAnsiTheme="minorEastAsia"/>
          <w:b/>
          <w:bCs/>
          <w:color w:val="auto"/>
          <w:sz w:val="24"/>
          <w:szCs w:val="24"/>
          <w:highlight w:val="none"/>
          <w:u w:val="single"/>
          <w:lang w:eastAsia="zh-CN"/>
        </w:rPr>
        <w:t>厦门市卫生健康委员会(厦门市医用设备集中采购工作专班)核酸质谱系统统招分签采购项目</w:t>
      </w:r>
      <w:r>
        <w:rPr>
          <w:rFonts w:asciiTheme="minorEastAsia" w:hAnsiTheme="minorEastAsia"/>
          <w:color w:val="auto"/>
          <w:sz w:val="24"/>
          <w:szCs w:val="24"/>
          <w:highlight w:val="none"/>
        </w:rPr>
        <w:t>（以下简称：“本项目”）的政府采购活动，现邀请供应商参加投标。</w:t>
      </w:r>
    </w:p>
    <w:p w14:paraId="361E88F9">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1、备案编号：</w:t>
      </w:r>
    </w:p>
    <w:p w14:paraId="36BA83E1">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2、项目编号：</w:t>
      </w:r>
    </w:p>
    <w:p w14:paraId="5DAE47CC">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3、预算金额、最高限价：详见《采购标的一览表》。</w:t>
      </w:r>
    </w:p>
    <w:p w14:paraId="20D60390">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4、招标内容及要求：详见《采购标的一览表》及招标文件第五章。</w:t>
      </w:r>
    </w:p>
    <w:p w14:paraId="7C8580BB">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5、需要落实的政府采购政策</w:t>
      </w:r>
    </w:p>
    <w:p w14:paraId="013A9C4E">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进口产品：本项目不接受进口产品参与投标。</w:t>
      </w:r>
    </w:p>
    <w:p w14:paraId="66A0B3BB">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节能产品：按照节能产品政府采购品目清单执行。</w:t>
      </w:r>
    </w:p>
    <w:p w14:paraId="7FB42C6E">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环境标志产品：按照环境标志产品政府采购品目清单执行。</w:t>
      </w:r>
    </w:p>
    <w:p w14:paraId="2C9EEB13">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促进中小企业发展的相关政策：</w:t>
      </w:r>
    </w:p>
    <w:p w14:paraId="098595E1">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采购包1：不专门面向中小企业采购</w:t>
      </w:r>
    </w:p>
    <w:p w14:paraId="31722564">
      <w:pPr>
        <w:pStyle w:val="54"/>
        <w:widowControl w:val="0"/>
        <w:spacing w:line="360" w:lineRule="auto"/>
        <w:ind w:firstLine="480" w:firstLineChars="200"/>
        <w:rPr>
          <w:rFonts w:hint="default" w:asciiTheme="minorEastAsia" w:hAnsiTheme="minorEastAsia"/>
          <w:color w:val="auto"/>
          <w:sz w:val="24"/>
          <w:szCs w:val="24"/>
          <w:highlight w:val="none"/>
        </w:rPr>
      </w:pPr>
    </w:p>
    <w:p w14:paraId="3F272047">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6、投标人的资格要求</w:t>
      </w:r>
    </w:p>
    <w:p w14:paraId="7112EC9E">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6.1法定条件：符合政府采购法第二十二条第一款规定的条件。</w:t>
      </w:r>
    </w:p>
    <w:p w14:paraId="7F8D626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6.2特定条件：</w:t>
      </w:r>
    </w:p>
    <w:p w14:paraId="6CE4AE8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37"/>
        <w:gridCol w:w="6145"/>
      </w:tblGrid>
      <w:tr w14:paraId="39D4E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37" w:type="dxa"/>
            <w:vAlign w:val="center"/>
          </w:tcPr>
          <w:p w14:paraId="2965E915">
            <w:pPr>
              <w:spacing w:line="276" w:lineRule="auto"/>
              <w:jc w:val="center"/>
              <w:rPr>
                <w:color w:val="auto"/>
                <w:sz w:val="24"/>
                <w:szCs w:val="24"/>
                <w:highlight w:val="none"/>
              </w:rPr>
            </w:pPr>
            <w:r>
              <w:rPr>
                <w:color w:val="auto"/>
                <w:sz w:val="24"/>
                <w:szCs w:val="24"/>
                <w:highlight w:val="none"/>
              </w:rPr>
              <w:t>资格审查要求概况</w:t>
            </w:r>
          </w:p>
        </w:tc>
        <w:tc>
          <w:tcPr>
            <w:tcW w:w="6145" w:type="dxa"/>
            <w:vAlign w:val="center"/>
          </w:tcPr>
          <w:p w14:paraId="65B4EBC5">
            <w:pPr>
              <w:spacing w:line="276" w:lineRule="auto"/>
              <w:jc w:val="center"/>
              <w:rPr>
                <w:color w:val="auto"/>
                <w:sz w:val="24"/>
                <w:szCs w:val="24"/>
                <w:highlight w:val="none"/>
              </w:rPr>
            </w:pPr>
            <w:r>
              <w:rPr>
                <w:color w:val="auto"/>
                <w:sz w:val="24"/>
                <w:szCs w:val="24"/>
                <w:highlight w:val="none"/>
              </w:rPr>
              <w:t>评审点具体描述</w:t>
            </w:r>
          </w:p>
        </w:tc>
      </w:tr>
      <w:tr w14:paraId="17E89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37" w:type="dxa"/>
            <w:vAlign w:val="center"/>
          </w:tcPr>
          <w:p w14:paraId="2C0644A4">
            <w:pPr>
              <w:spacing w:line="276" w:lineRule="auto"/>
              <w:jc w:val="center"/>
              <w:rPr>
                <w:color w:val="auto"/>
                <w:sz w:val="24"/>
                <w:szCs w:val="24"/>
                <w:highlight w:val="none"/>
              </w:rPr>
            </w:pPr>
            <w:r>
              <w:rPr>
                <w:rFonts w:hint="eastAsia"/>
                <w:color w:val="auto"/>
                <w:sz w:val="24"/>
                <w:szCs w:val="24"/>
                <w:highlight w:val="none"/>
              </w:rPr>
              <w:t>信用记录要求（招标文件其他地方要求与本条款要求不一致的，以本条款要求为准）</w:t>
            </w:r>
          </w:p>
        </w:tc>
        <w:tc>
          <w:tcPr>
            <w:tcW w:w="6145" w:type="dxa"/>
            <w:vAlign w:val="center"/>
          </w:tcPr>
          <w:p w14:paraId="7070E132">
            <w:pPr>
              <w:spacing w:line="276"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 xml:space="preserve">1、信用信息查询渠道：通过“信用中国”网站（www.creditchina.gov.cn）、中国政府采购网（www.ccgp.gov.cn）、“信用厦门”网站（credit.xm.gov.cn）查询所有供应商的信用信息。 </w:t>
            </w:r>
          </w:p>
          <w:p w14:paraId="0A8D4C72">
            <w:pPr>
              <w:spacing w:line="276"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2、截止时点：查询供应商截止开标当天前三年内的信用信息。</w:t>
            </w:r>
          </w:p>
          <w:p w14:paraId="55F8643E">
            <w:pPr>
              <w:spacing w:line="276"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 xml:space="preserve">3、查询记录和证据留存方式：将查询结果网页打印后随采购文件一并存档。 </w:t>
            </w:r>
          </w:p>
          <w:p w14:paraId="495755A3">
            <w:pPr>
              <w:spacing w:line="276"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4、信用信息的使用规则：（1）查询结果显示供应商存在不良信用记录（包含列入失信被执行人、重大税收违法失信主体</w:t>
            </w:r>
            <w:r>
              <w:rPr>
                <w:rFonts w:hint="eastAsia" w:asciiTheme="minorEastAsia" w:hAnsiTheme="minorEastAsia"/>
                <w:color w:val="auto"/>
                <w:sz w:val="24"/>
                <w:szCs w:val="24"/>
                <w:highlight w:val="none"/>
              </w:rPr>
              <w:t>名单</w:t>
            </w:r>
            <w:r>
              <w:rPr>
                <w:rFonts w:asciiTheme="minorEastAsia" w:hAnsiTheme="minorEastAsia"/>
                <w:color w:val="auto"/>
                <w:sz w:val="24"/>
                <w:szCs w:val="24"/>
                <w:highlight w:val="none"/>
              </w:rPr>
              <w:t>、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w:t>
            </w:r>
          </w:p>
          <w:p w14:paraId="17D05B18">
            <w:pPr>
              <w:spacing w:line="276" w:lineRule="auto"/>
              <w:rPr>
                <w:color w:val="auto"/>
                <w:sz w:val="24"/>
                <w:szCs w:val="24"/>
                <w:highlight w:val="none"/>
              </w:rPr>
            </w:pPr>
            <w:r>
              <w:rPr>
                <w:rFonts w:asciiTheme="minorEastAsia" w:hAnsiTheme="minorEastAsia"/>
                <w:color w:val="auto"/>
                <w:sz w:val="24"/>
                <w:szCs w:val="24"/>
                <w:highlight w:val="none"/>
              </w:rPr>
              <w:t>5、供应商无需提供信用信息查询结果。若供应商自行提供查询结果的，仍以评标当天查询结果为准。</w:t>
            </w:r>
          </w:p>
        </w:tc>
      </w:tr>
      <w:tr w14:paraId="23288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37" w:type="dxa"/>
            <w:vAlign w:val="center"/>
          </w:tcPr>
          <w:p w14:paraId="1251CC87">
            <w:pPr>
              <w:spacing w:line="276" w:lineRule="auto"/>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资格承诺函</w:t>
            </w:r>
          </w:p>
        </w:tc>
        <w:tc>
          <w:tcPr>
            <w:tcW w:w="6145" w:type="dxa"/>
            <w:vAlign w:val="center"/>
          </w:tcPr>
          <w:p w14:paraId="7B49A466">
            <w:pPr>
              <w:spacing w:line="276" w:lineRule="auto"/>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6CEE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37" w:type="dxa"/>
            <w:vAlign w:val="top"/>
          </w:tcPr>
          <w:p w14:paraId="7342C589">
            <w:pPr>
              <w:spacing w:line="276" w:lineRule="auto"/>
              <w:jc w:val="center"/>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关于“财务状况报告”的补充说明</w:t>
            </w:r>
          </w:p>
        </w:tc>
        <w:tc>
          <w:tcPr>
            <w:tcW w:w="6145" w:type="dxa"/>
            <w:vAlign w:val="top"/>
          </w:tcPr>
          <w:p w14:paraId="287F7696">
            <w:pPr>
              <w:spacing w:line="276" w:lineRule="auto"/>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投标截止时间在1月1日至6月30日的，投标人提供上上年度（指上一年度的上一年度）经审计的财务报告视同满足经审计的上一年度的年度财务报告的要求。</w:t>
            </w:r>
          </w:p>
        </w:tc>
      </w:tr>
      <w:tr w14:paraId="648A4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37" w:type="dxa"/>
            <w:vAlign w:val="top"/>
          </w:tcPr>
          <w:p w14:paraId="3CDF39B4">
            <w:pPr>
              <w:spacing w:line="276" w:lineRule="auto"/>
              <w:jc w:val="center"/>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lang w:val="en-US" w:eastAsia="zh-CN"/>
              </w:rPr>
              <w:t>采购人根据采购项目的要求规定的特定条件1</w:t>
            </w:r>
          </w:p>
        </w:tc>
        <w:tc>
          <w:tcPr>
            <w:tcW w:w="6145" w:type="dxa"/>
            <w:vAlign w:val="top"/>
          </w:tcPr>
          <w:p w14:paraId="0E50D459">
            <w:pPr>
              <w:spacing w:line="276" w:lineRule="auto"/>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lang w:val="en-US" w:eastAsia="zh-CN"/>
              </w:rPr>
              <w:t>对投标人的要求：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p>
        </w:tc>
      </w:tr>
      <w:tr w14:paraId="6BA62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37" w:type="dxa"/>
            <w:vAlign w:val="center"/>
          </w:tcPr>
          <w:p w14:paraId="26EF4BF8">
            <w:pPr>
              <w:spacing w:line="276" w:lineRule="auto"/>
              <w:jc w:val="center"/>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lang w:val="en-US" w:eastAsia="zh-CN"/>
              </w:rPr>
              <w:t>采购人根据采购项目的要求规定的特定条件2</w:t>
            </w:r>
          </w:p>
        </w:tc>
        <w:tc>
          <w:tcPr>
            <w:tcW w:w="6145" w:type="dxa"/>
            <w:vAlign w:val="center"/>
          </w:tcPr>
          <w:p w14:paraId="7E4D0B3F">
            <w:pPr>
              <w:spacing w:line="276" w:lineRule="auto"/>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对投标产品的要求：</w:t>
            </w:r>
          </w:p>
          <w:p w14:paraId="5737B42D">
            <w:pPr>
              <w:spacing w:line="276" w:lineRule="auto"/>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1、第一类医疗器械：投标人应提供投标产品的“第一类医疗器械备案凭证”及“第一类医疗器械备案信息表”扫描件。</w:t>
            </w:r>
          </w:p>
          <w:p w14:paraId="272BB400">
            <w:pPr>
              <w:spacing w:line="276" w:lineRule="auto"/>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lang w:val="en-US" w:eastAsia="zh-CN"/>
              </w:rPr>
              <w:t>2、第二类、第三类医疗器械：投标人应提供投标产品有效期内的“医疗器械注册证”扫描件(若注册证未体现投标产品型号规格的，则应同时提供附页扫描件)。投标人所投配置清单设备中，产品属于医疗器械，须按照1、2点要求提供相关材料。</w:t>
            </w:r>
          </w:p>
        </w:tc>
      </w:tr>
    </w:tbl>
    <w:p w14:paraId="4CA3BFE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6.3是否接受联合体投标：</w:t>
      </w:r>
    </w:p>
    <w:p w14:paraId="1B7F514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采购包1：不接受。</w:t>
      </w:r>
    </w:p>
    <w:p w14:paraId="2DBFA9A5">
      <w:pPr>
        <w:pStyle w:val="54"/>
        <w:widowControl w:val="0"/>
        <w:spacing w:line="360" w:lineRule="auto"/>
        <w:ind w:firstLine="482" w:firstLineChars="200"/>
        <w:jc w:val="both"/>
        <w:rPr>
          <w:rFonts w:hint="default" w:asciiTheme="minorEastAsia" w:hAnsiTheme="minorEastAsia"/>
          <w:color w:val="auto"/>
          <w:sz w:val="24"/>
          <w:szCs w:val="24"/>
          <w:highlight w:val="none"/>
        </w:rPr>
      </w:pPr>
      <w:r>
        <w:rPr>
          <w:rFonts w:asciiTheme="minorEastAsia" w:hAnsiTheme="minorEastAsia"/>
          <w:b/>
          <w:color w:val="auto"/>
          <w:sz w:val="24"/>
          <w:szCs w:val="24"/>
          <w:highlight w:val="none"/>
        </w:rPr>
        <w:t>※根据上述资格要求，电子投标文件中应提交的“投标人的资格及资信证明文件”详见招标文件第四章。</w:t>
      </w:r>
    </w:p>
    <w:p w14:paraId="1C446ABF">
      <w:pPr>
        <w:pStyle w:val="54"/>
        <w:widowControl w:val="0"/>
        <w:spacing w:line="360" w:lineRule="auto"/>
        <w:ind w:firstLine="482" w:firstLineChars="200"/>
        <w:rPr>
          <w:rFonts w:hint="default" w:asciiTheme="minorEastAsia" w:hAnsiTheme="minorEastAsia"/>
          <w:b/>
          <w:color w:val="auto"/>
          <w:sz w:val="24"/>
          <w:szCs w:val="24"/>
          <w:highlight w:val="none"/>
        </w:rPr>
      </w:pPr>
      <w:r>
        <w:rPr>
          <w:rFonts w:asciiTheme="minorEastAsia" w:hAnsiTheme="minorEastAsia"/>
          <w:b/>
          <w:color w:val="auto"/>
          <w:sz w:val="24"/>
          <w:szCs w:val="24"/>
          <w:highlight w:val="none"/>
        </w:rPr>
        <w:t>7、招标文件的获取</w:t>
      </w:r>
    </w:p>
    <w:p w14:paraId="3D820F5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7.1、招标文件获取期限：详见招标公告或更正公告，若不一致，以更正公告为准。</w:t>
      </w:r>
    </w:p>
    <w:p w14:paraId="6DA972F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6C625ED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7.3、获取地点及方式：注册账号后，通过福建省政府采购网上公开信息系统以下载方式获取。</w:t>
      </w:r>
    </w:p>
    <w:p w14:paraId="6BFF343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7.4、招标文件售价：0元。</w:t>
      </w:r>
    </w:p>
    <w:p w14:paraId="5C81A6FE">
      <w:pPr>
        <w:pStyle w:val="54"/>
        <w:widowControl w:val="0"/>
        <w:spacing w:line="360" w:lineRule="auto"/>
        <w:ind w:firstLine="482" w:firstLineChars="200"/>
        <w:jc w:val="both"/>
        <w:rPr>
          <w:rFonts w:hint="default" w:asciiTheme="minorEastAsia" w:hAnsiTheme="minorEastAsia"/>
          <w:b/>
          <w:color w:val="auto"/>
          <w:sz w:val="24"/>
          <w:szCs w:val="24"/>
          <w:highlight w:val="none"/>
        </w:rPr>
      </w:pPr>
      <w:r>
        <w:rPr>
          <w:rFonts w:asciiTheme="minorEastAsia" w:hAnsiTheme="minorEastAsia"/>
          <w:b/>
          <w:color w:val="auto"/>
          <w:sz w:val="24"/>
          <w:szCs w:val="24"/>
          <w:highlight w:val="none"/>
        </w:rPr>
        <w:t>8、投标截止</w:t>
      </w:r>
    </w:p>
    <w:p w14:paraId="542F41D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8.1、投标截止时间：详见招标公告或更正公告，若不一致，以更正公告为准。</w:t>
      </w:r>
    </w:p>
    <w:p w14:paraId="22A413C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7DE6B98B">
      <w:pPr>
        <w:pStyle w:val="54"/>
        <w:widowControl w:val="0"/>
        <w:spacing w:line="360" w:lineRule="auto"/>
        <w:ind w:firstLine="482" w:firstLineChars="200"/>
        <w:rPr>
          <w:rFonts w:hint="default" w:asciiTheme="minorEastAsia" w:hAnsiTheme="minorEastAsia"/>
          <w:b/>
          <w:color w:val="auto"/>
          <w:sz w:val="24"/>
          <w:szCs w:val="24"/>
          <w:highlight w:val="none"/>
        </w:rPr>
      </w:pPr>
      <w:r>
        <w:rPr>
          <w:rFonts w:asciiTheme="minorEastAsia" w:hAnsiTheme="minorEastAsia"/>
          <w:b/>
          <w:color w:val="auto"/>
          <w:sz w:val="24"/>
          <w:szCs w:val="24"/>
          <w:highlight w:val="none"/>
        </w:rPr>
        <w:t>9、开标时间及地点</w:t>
      </w:r>
    </w:p>
    <w:p w14:paraId="3029617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详见招标公告或更正公告，若不一致，以更正公告为准。</w:t>
      </w:r>
    </w:p>
    <w:p w14:paraId="72AEAC58">
      <w:pPr>
        <w:pStyle w:val="54"/>
        <w:widowControl w:val="0"/>
        <w:spacing w:line="360" w:lineRule="auto"/>
        <w:ind w:firstLine="482" w:firstLineChars="200"/>
        <w:rPr>
          <w:rFonts w:hint="default" w:asciiTheme="minorEastAsia" w:hAnsiTheme="minorEastAsia"/>
          <w:b/>
          <w:color w:val="auto"/>
          <w:sz w:val="24"/>
          <w:szCs w:val="24"/>
          <w:highlight w:val="none"/>
        </w:rPr>
      </w:pPr>
      <w:r>
        <w:rPr>
          <w:rFonts w:asciiTheme="minorEastAsia" w:hAnsiTheme="minorEastAsia"/>
          <w:b/>
          <w:color w:val="auto"/>
          <w:sz w:val="24"/>
          <w:szCs w:val="24"/>
          <w:highlight w:val="none"/>
        </w:rPr>
        <w:t>10、公告期限</w:t>
      </w:r>
    </w:p>
    <w:p w14:paraId="33D511B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10.1、招标公告的公告期限：自财政部和福建省财政厅指定的政府采购信息发布媒体最先发布公告之日起5个工作日。</w:t>
      </w:r>
    </w:p>
    <w:p w14:paraId="2382E27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10.2、招标文件公告期限：招标文件随同招标公告一并发布，其公告期限与招标公告的公告期限保持一致。</w:t>
      </w:r>
    </w:p>
    <w:p w14:paraId="309485A7">
      <w:pPr>
        <w:pStyle w:val="54"/>
        <w:widowControl w:val="0"/>
        <w:spacing w:line="360" w:lineRule="auto"/>
        <w:ind w:firstLine="482"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b/>
          <w:color w:val="auto"/>
          <w:sz w:val="24"/>
          <w:szCs w:val="24"/>
          <w:highlight w:val="none"/>
        </w:rPr>
        <w:t>11、采购人：</w:t>
      </w:r>
      <w:r>
        <w:rPr>
          <w:rFonts w:hint="eastAsia" w:asciiTheme="minorEastAsia" w:hAnsiTheme="minorEastAsia"/>
          <w:b/>
          <w:color w:val="auto"/>
          <w:sz w:val="24"/>
          <w:szCs w:val="24"/>
          <w:highlight w:val="none"/>
          <w:lang w:eastAsia="zh-CN"/>
        </w:rPr>
        <w:t>厦门市卫生健康委员会</w:t>
      </w:r>
    </w:p>
    <w:p w14:paraId="6931295C">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地址：</w:t>
      </w:r>
      <w:r>
        <w:rPr>
          <w:rFonts w:hint="eastAsia" w:asciiTheme="minorEastAsia" w:hAnsiTheme="minorEastAsia"/>
          <w:color w:val="auto"/>
          <w:sz w:val="24"/>
          <w:szCs w:val="24"/>
          <w:highlight w:val="none"/>
        </w:rPr>
        <w:t>厦门市同安路2号天鹭大厦B座</w:t>
      </w:r>
    </w:p>
    <w:p w14:paraId="01312BC9">
      <w:pPr>
        <w:pStyle w:val="54"/>
        <w:widowControl w:val="0"/>
        <w:spacing w:line="360" w:lineRule="auto"/>
        <w:ind w:firstLine="480" w:firstLineChars="200"/>
        <w:rPr>
          <w:rFonts w:hint="eastAsia" w:eastAsia="仿宋" w:asciiTheme="minorEastAsia" w:hAnsiTheme="minorEastAsia"/>
          <w:color w:val="auto"/>
          <w:sz w:val="24"/>
          <w:szCs w:val="24"/>
          <w:highlight w:val="none"/>
          <w:lang w:val="en-US" w:eastAsia="zh-CN"/>
        </w:rPr>
      </w:pPr>
      <w:r>
        <w:rPr>
          <w:rFonts w:asciiTheme="minorEastAsia" w:hAnsiTheme="minorEastAsia"/>
          <w:color w:val="auto"/>
          <w:sz w:val="24"/>
          <w:szCs w:val="24"/>
          <w:highlight w:val="none"/>
        </w:rPr>
        <w:t>邮编：</w:t>
      </w:r>
      <w:r>
        <w:rPr>
          <w:rFonts w:ascii="仿宋" w:hAnsi="仿宋" w:eastAsia="仿宋" w:cs="仿宋"/>
          <w:color w:val="auto"/>
          <w:sz w:val="24"/>
          <w:szCs w:val="24"/>
          <w:highlight w:val="none"/>
        </w:rPr>
        <w:t>36100</w:t>
      </w:r>
      <w:r>
        <w:rPr>
          <w:rFonts w:hint="eastAsia" w:ascii="仿宋" w:hAnsi="仿宋" w:eastAsia="仿宋" w:cs="仿宋"/>
          <w:color w:val="auto"/>
          <w:sz w:val="24"/>
          <w:szCs w:val="24"/>
          <w:highlight w:val="none"/>
          <w:lang w:val="en-US" w:eastAsia="zh-CN"/>
        </w:rPr>
        <w:t>0</w:t>
      </w:r>
    </w:p>
    <w:p w14:paraId="04C35BA5">
      <w:pPr>
        <w:pStyle w:val="54"/>
        <w:widowControl w:val="0"/>
        <w:spacing w:line="360" w:lineRule="auto"/>
        <w:ind w:firstLine="480" w:firstLineChars="200"/>
        <w:rPr>
          <w:rFonts w:hint="default" w:asciiTheme="minorEastAsia" w:hAnsiTheme="minorEastAsia" w:eastAsiaTheme="minorEastAsia"/>
          <w:color w:val="auto"/>
          <w:sz w:val="24"/>
          <w:szCs w:val="24"/>
          <w:highlight w:val="none"/>
          <w:lang w:val="en-US" w:eastAsia="zh-CN"/>
        </w:rPr>
      </w:pPr>
      <w:r>
        <w:rPr>
          <w:rFonts w:asciiTheme="minorEastAsia" w:hAnsiTheme="minorEastAsia"/>
          <w:color w:val="auto"/>
          <w:sz w:val="24"/>
          <w:szCs w:val="24"/>
          <w:highlight w:val="none"/>
        </w:rPr>
        <w:t>联系人：</w:t>
      </w:r>
      <w:r>
        <w:rPr>
          <w:rFonts w:hint="eastAsia" w:asciiTheme="minorEastAsia" w:hAnsiTheme="minorEastAsia"/>
          <w:color w:val="auto"/>
          <w:sz w:val="24"/>
          <w:szCs w:val="24"/>
          <w:highlight w:val="none"/>
          <w:lang w:val="en-US" w:eastAsia="zh-CN"/>
        </w:rPr>
        <w:t>朱先生</w:t>
      </w:r>
    </w:p>
    <w:p w14:paraId="2C88391A">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联系电话：</w:t>
      </w:r>
      <w:r>
        <w:rPr>
          <w:rFonts w:hint="eastAsia" w:ascii="仿宋" w:hAnsi="仿宋" w:eastAsia="仿宋" w:cs="仿宋"/>
          <w:color w:val="auto"/>
          <w:sz w:val="24"/>
          <w:szCs w:val="24"/>
          <w:highlight w:val="none"/>
        </w:rPr>
        <w:t>0592-2031260</w:t>
      </w:r>
    </w:p>
    <w:p w14:paraId="334B0C44">
      <w:pPr>
        <w:pStyle w:val="54"/>
        <w:widowControl w:val="0"/>
        <w:spacing w:line="360" w:lineRule="auto"/>
        <w:ind w:firstLine="482"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b/>
          <w:color w:val="auto"/>
          <w:sz w:val="24"/>
          <w:szCs w:val="24"/>
          <w:highlight w:val="none"/>
        </w:rPr>
        <w:t>12、代理机构：</w:t>
      </w:r>
      <w:r>
        <w:rPr>
          <w:rFonts w:hint="eastAsia" w:asciiTheme="minorEastAsia" w:hAnsiTheme="minorEastAsia"/>
          <w:b/>
          <w:color w:val="auto"/>
          <w:sz w:val="24"/>
          <w:szCs w:val="24"/>
          <w:highlight w:val="none"/>
          <w:lang w:eastAsia="zh-CN"/>
        </w:rPr>
        <w:t>厦门市公物投资管理有限公司</w:t>
      </w:r>
    </w:p>
    <w:p w14:paraId="39354ACC">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地址：</w:t>
      </w:r>
      <w:r>
        <w:rPr>
          <w:rFonts w:hint="eastAsia" w:asciiTheme="minorEastAsia" w:hAnsiTheme="minorEastAsia"/>
          <w:color w:val="auto"/>
          <w:sz w:val="24"/>
          <w:szCs w:val="24"/>
          <w:highlight w:val="none"/>
        </w:rPr>
        <w:t>厦门市思明区湖滨南路81号18楼</w:t>
      </w:r>
    </w:p>
    <w:p w14:paraId="3031F9F9">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邮编：</w:t>
      </w:r>
      <w:r>
        <w:rPr>
          <w:rFonts w:ascii="仿宋" w:hAnsi="仿宋" w:eastAsia="仿宋" w:cs="仿宋"/>
          <w:color w:val="auto"/>
          <w:sz w:val="24"/>
          <w:szCs w:val="24"/>
          <w:highlight w:val="none"/>
        </w:rPr>
        <w:t>361001</w:t>
      </w:r>
    </w:p>
    <w:p w14:paraId="7AB32FD1">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联系人：</w:t>
      </w:r>
      <w:r>
        <w:rPr>
          <w:rFonts w:hint="eastAsia" w:asciiTheme="minorEastAsia" w:hAnsiTheme="minorEastAsia"/>
          <w:color w:val="auto"/>
          <w:sz w:val="24"/>
          <w:szCs w:val="24"/>
          <w:highlight w:val="none"/>
        </w:rPr>
        <w:t>胡馨文、林晶晶、黄振斌</w:t>
      </w:r>
    </w:p>
    <w:p w14:paraId="27B49E6E">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联系电话：</w:t>
      </w:r>
      <w:r>
        <w:rPr>
          <w:rFonts w:hint="eastAsia" w:asciiTheme="minorEastAsia" w:hAnsiTheme="minorEastAsia"/>
          <w:color w:val="auto"/>
          <w:sz w:val="24"/>
          <w:szCs w:val="24"/>
          <w:highlight w:val="none"/>
        </w:rPr>
        <w:t>0592-2279312</w:t>
      </w:r>
    </w:p>
    <w:p w14:paraId="5E409540">
      <w:pPr>
        <w:pStyle w:val="54"/>
        <w:widowControl w:val="0"/>
        <w:spacing w:line="360" w:lineRule="auto"/>
        <w:ind w:firstLine="482" w:firstLineChars="200"/>
        <w:rPr>
          <w:rFonts w:hint="default" w:asciiTheme="minorEastAsia" w:hAnsiTheme="minorEastAsia"/>
          <w:b/>
          <w:color w:val="auto"/>
          <w:sz w:val="24"/>
          <w:szCs w:val="24"/>
          <w:highlight w:val="none"/>
        </w:rPr>
      </w:pPr>
      <w:r>
        <w:rPr>
          <w:rFonts w:asciiTheme="minorEastAsia" w:hAnsiTheme="minorEastAsia"/>
          <w:b/>
          <w:color w:val="auto"/>
          <w:sz w:val="24"/>
          <w:szCs w:val="24"/>
          <w:highlight w:val="none"/>
        </w:rPr>
        <w:t>附1：账户信息</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F9A3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14:paraId="0040E03C">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投标保证金账户</w:t>
            </w:r>
          </w:p>
        </w:tc>
      </w:tr>
      <w:tr w14:paraId="419AE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14:paraId="6FE920F4">
            <w:pPr>
              <w:pStyle w:val="54"/>
              <w:widowControl w:val="0"/>
              <w:spacing w:line="360" w:lineRule="auto"/>
              <w:jc w:val="both"/>
              <w:rPr>
                <w:rFonts w:hint="eastAsia" w:asciiTheme="minorEastAsia" w:hAnsiTheme="minorEastAsia" w:eastAsiaTheme="minorEastAsia"/>
                <w:color w:val="auto"/>
                <w:sz w:val="24"/>
                <w:szCs w:val="24"/>
                <w:highlight w:val="none"/>
                <w:lang w:eastAsia="zh-CN"/>
              </w:rPr>
            </w:pPr>
            <w:r>
              <w:rPr>
                <w:rFonts w:asciiTheme="minorEastAsia" w:hAnsiTheme="minorEastAsia"/>
                <w:color w:val="auto"/>
                <w:sz w:val="24"/>
                <w:szCs w:val="24"/>
                <w:highlight w:val="none"/>
              </w:rPr>
              <w:t>开户名称：</w:t>
            </w:r>
            <w:r>
              <w:rPr>
                <w:rFonts w:hint="eastAsia" w:asciiTheme="minorEastAsia" w:hAnsiTheme="minorEastAsia"/>
                <w:color w:val="auto"/>
                <w:sz w:val="24"/>
                <w:szCs w:val="24"/>
                <w:highlight w:val="none"/>
                <w:lang w:eastAsia="zh-CN"/>
              </w:rPr>
              <w:t>厦门市公物投资管理有限公司</w:t>
            </w:r>
          </w:p>
        </w:tc>
      </w:tr>
      <w:tr w14:paraId="05E6D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14:paraId="31CAEC86">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开户银行：供应商在福建省政府采购网上公开信息系统获取招标文件后，根据其提示自行选择要缴交的投标保证金托管银行。</w:t>
            </w:r>
          </w:p>
        </w:tc>
      </w:tr>
      <w:tr w14:paraId="317DD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14:paraId="20648030">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9F89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14:paraId="4A43AD7D">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特别提示</w:t>
            </w:r>
          </w:p>
        </w:tc>
      </w:tr>
      <w:tr w14:paraId="4BEEC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6" w:type="dxa"/>
            <w:vAlign w:val="center"/>
          </w:tcPr>
          <w:p w14:paraId="7819ECB2">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1、投标人应认真核对账户信息，将投标保证金汇入以上账户，并自行承担因汇错投标保证金而产生的一切后果。</w:t>
            </w:r>
          </w:p>
          <w:p w14:paraId="3FC54393">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2、投标人在转账或电汇的凭证上应按照以下格式注明，以便核对：“（项目编号：***）的投标保证金”。</w:t>
            </w:r>
          </w:p>
        </w:tc>
      </w:tr>
    </w:tbl>
    <w:p w14:paraId="6937FA63">
      <w:pPr>
        <w:pStyle w:val="54"/>
        <w:widowControl w:val="0"/>
        <w:spacing w:line="360" w:lineRule="auto"/>
        <w:ind w:firstLine="482" w:firstLineChars="200"/>
        <w:rPr>
          <w:rFonts w:hint="default" w:asciiTheme="minorEastAsia" w:hAnsiTheme="minorEastAsia"/>
          <w:b/>
          <w:color w:val="auto"/>
          <w:sz w:val="24"/>
          <w:szCs w:val="24"/>
          <w:highlight w:val="none"/>
        </w:rPr>
      </w:pPr>
    </w:p>
    <w:p w14:paraId="57B278BA">
      <w:pPr>
        <w:pStyle w:val="54"/>
        <w:widowControl w:val="0"/>
        <w:spacing w:line="360" w:lineRule="auto"/>
        <w:ind w:firstLine="482" w:firstLineChars="200"/>
        <w:rPr>
          <w:rFonts w:hint="default" w:asciiTheme="minorEastAsia" w:hAnsiTheme="minorEastAsia"/>
          <w:b/>
          <w:color w:val="auto"/>
          <w:sz w:val="24"/>
          <w:szCs w:val="24"/>
          <w:highlight w:val="none"/>
        </w:rPr>
      </w:pPr>
      <w:r>
        <w:rPr>
          <w:rFonts w:asciiTheme="minorEastAsia" w:hAnsiTheme="minorEastAsia"/>
          <w:b/>
          <w:color w:val="auto"/>
          <w:sz w:val="24"/>
          <w:szCs w:val="24"/>
          <w:highlight w:val="none"/>
        </w:rPr>
        <w:t>附2：采购标的一览表</w:t>
      </w:r>
    </w:p>
    <w:p w14:paraId="12C2DA59">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w:t>
      </w:r>
    </w:p>
    <w:p w14:paraId="13BBB8B2">
      <w:pPr>
        <w:pStyle w:val="54"/>
        <w:widowControl w:val="0"/>
        <w:spacing w:line="360" w:lineRule="auto"/>
        <w:ind w:firstLine="480" w:firstLineChars="200"/>
        <w:rPr>
          <w:rFonts w:hint="default" w:asciiTheme="minorEastAsia" w:hAnsiTheme="minorEastAsia" w:eastAsiaTheme="minorEastAsia"/>
          <w:color w:val="auto"/>
          <w:sz w:val="24"/>
          <w:szCs w:val="24"/>
          <w:highlight w:val="none"/>
          <w:lang w:val="en-US" w:eastAsia="zh-CN"/>
        </w:rPr>
      </w:pPr>
      <w:r>
        <w:rPr>
          <w:rFonts w:asciiTheme="minorEastAsia" w:hAnsiTheme="minorEastAsia"/>
          <w:color w:val="auto"/>
          <w:sz w:val="24"/>
          <w:szCs w:val="24"/>
          <w:highlight w:val="none"/>
        </w:rPr>
        <w:t>采购包预算金额（元）：</w:t>
      </w:r>
      <w:r>
        <w:rPr>
          <w:rFonts w:hint="eastAsia" w:asciiTheme="minorEastAsia" w:hAnsiTheme="minorEastAsia"/>
          <w:color w:val="auto"/>
          <w:sz w:val="24"/>
          <w:szCs w:val="24"/>
          <w:highlight w:val="none"/>
        </w:rPr>
        <w:t>1</w:t>
      </w:r>
      <w:r>
        <w:rPr>
          <w:rFonts w:ascii="仿宋" w:hAnsi="仿宋" w:eastAsia="仿宋" w:cs="仿宋"/>
          <w:color w:val="auto"/>
          <w:sz w:val="24"/>
          <w:szCs w:val="24"/>
          <w:highlight w:val="none"/>
        </w:rPr>
        <w:t>,</w:t>
      </w:r>
      <w:r>
        <w:rPr>
          <w:rFonts w:hint="eastAsia" w:asciiTheme="minorEastAsia" w:hAnsiTheme="minorEastAsia"/>
          <w:color w:val="auto"/>
          <w:sz w:val="24"/>
          <w:szCs w:val="24"/>
          <w:highlight w:val="none"/>
        </w:rPr>
        <w:t>600</w:t>
      </w:r>
      <w:r>
        <w:rPr>
          <w:rFonts w:ascii="仿宋" w:hAnsi="仿宋" w:eastAsia="仿宋" w:cs="仿宋"/>
          <w:color w:val="auto"/>
          <w:sz w:val="24"/>
          <w:szCs w:val="24"/>
          <w:highlight w:val="none"/>
        </w:rPr>
        <w:t>,</w:t>
      </w:r>
      <w:r>
        <w:rPr>
          <w:rFonts w:hint="eastAsia" w:asciiTheme="minorEastAsia" w:hAnsiTheme="minorEastAsia"/>
          <w:color w:val="auto"/>
          <w:sz w:val="24"/>
          <w:szCs w:val="24"/>
          <w:highlight w:val="none"/>
        </w:rPr>
        <w:t>000</w:t>
      </w:r>
      <w:r>
        <w:rPr>
          <w:rFonts w:hint="eastAsia" w:asciiTheme="minorEastAsia" w:hAnsiTheme="minorEastAsia"/>
          <w:color w:val="auto"/>
          <w:sz w:val="24"/>
          <w:szCs w:val="24"/>
          <w:highlight w:val="none"/>
          <w:lang w:val="en-US" w:eastAsia="zh-CN"/>
        </w:rPr>
        <w:t>.00</w:t>
      </w:r>
    </w:p>
    <w:p w14:paraId="6604B4DE">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采购包最高限价（元）：</w:t>
      </w:r>
      <w:r>
        <w:rPr>
          <w:rFonts w:hint="eastAsia" w:asciiTheme="minorEastAsia" w:hAnsiTheme="minorEastAsia"/>
          <w:color w:val="auto"/>
          <w:sz w:val="24"/>
          <w:szCs w:val="24"/>
          <w:highlight w:val="none"/>
        </w:rPr>
        <w:t>1</w:t>
      </w:r>
      <w:r>
        <w:rPr>
          <w:rFonts w:ascii="仿宋" w:hAnsi="仿宋" w:eastAsia="仿宋" w:cs="仿宋"/>
          <w:color w:val="auto"/>
          <w:sz w:val="24"/>
          <w:szCs w:val="24"/>
          <w:highlight w:val="none"/>
        </w:rPr>
        <w:t>,</w:t>
      </w:r>
      <w:r>
        <w:rPr>
          <w:rFonts w:hint="eastAsia" w:asciiTheme="minorEastAsia" w:hAnsiTheme="minorEastAsia"/>
          <w:color w:val="auto"/>
          <w:sz w:val="24"/>
          <w:szCs w:val="24"/>
          <w:highlight w:val="none"/>
        </w:rPr>
        <w:t>600</w:t>
      </w:r>
      <w:r>
        <w:rPr>
          <w:rFonts w:ascii="仿宋" w:hAnsi="仿宋" w:eastAsia="仿宋" w:cs="仿宋"/>
          <w:color w:val="auto"/>
          <w:sz w:val="24"/>
          <w:szCs w:val="24"/>
          <w:highlight w:val="none"/>
        </w:rPr>
        <w:t>,</w:t>
      </w:r>
      <w:r>
        <w:rPr>
          <w:rFonts w:hint="eastAsia" w:asciiTheme="minorEastAsia" w:hAnsiTheme="minorEastAsia"/>
          <w:color w:val="auto"/>
          <w:sz w:val="24"/>
          <w:szCs w:val="24"/>
          <w:highlight w:val="none"/>
        </w:rPr>
        <w:t>000</w:t>
      </w:r>
      <w:r>
        <w:rPr>
          <w:rFonts w:hint="eastAsia" w:asciiTheme="minorEastAsia" w:hAnsiTheme="minorEastAsia"/>
          <w:color w:val="auto"/>
          <w:sz w:val="24"/>
          <w:szCs w:val="24"/>
          <w:highlight w:val="none"/>
          <w:lang w:val="en-US" w:eastAsia="zh-CN"/>
        </w:rPr>
        <w:t>.00</w:t>
      </w:r>
    </w:p>
    <w:p w14:paraId="3FC84A3D">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采购包保证金金额（元）：</w:t>
      </w:r>
      <w:r>
        <w:rPr>
          <w:rFonts w:hint="eastAsia" w:asciiTheme="minorEastAsia" w:hAnsiTheme="minorEastAsia"/>
          <w:color w:val="auto"/>
          <w:sz w:val="24"/>
          <w:szCs w:val="24"/>
          <w:highlight w:val="none"/>
          <w:lang w:val="en-US" w:eastAsia="zh-CN"/>
        </w:rPr>
        <w:t>32</w:t>
      </w:r>
      <w:r>
        <w:rPr>
          <w:rFonts w:ascii="仿宋" w:hAnsi="仿宋" w:eastAsia="仿宋" w:cs="仿宋"/>
          <w:color w:val="auto"/>
          <w:sz w:val="24"/>
          <w:szCs w:val="24"/>
          <w:highlight w:val="none"/>
        </w:rPr>
        <w:t>,</w:t>
      </w:r>
      <w:r>
        <w:rPr>
          <w:rFonts w:hint="eastAsia" w:asciiTheme="minorEastAsia" w:hAnsiTheme="minorEastAsia"/>
          <w:color w:val="auto"/>
          <w:sz w:val="24"/>
          <w:szCs w:val="24"/>
          <w:highlight w:val="none"/>
          <w:lang w:val="en-US" w:eastAsia="zh-CN"/>
        </w:rPr>
        <w:t>00</w:t>
      </w:r>
      <w:r>
        <w:rPr>
          <w:rFonts w:asciiTheme="minorEastAsia" w:hAnsiTheme="minorEastAsia"/>
          <w:color w:val="auto"/>
          <w:sz w:val="24"/>
          <w:szCs w:val="24"/>
          <w:highlight w:val="none"/>
        </w:rPr>
        <w:t>0.00</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5"/>
        <w:gridCol w:w="1609"/>
        <w:gridCol w:w="1187"/>
        <w:gridCol w:w="1776"/>
        <w:gridCol w:w="1187"/>
        <w:gridCol w:w="1187"/>
        <w:gridCol w:w="1187"/>
      </w:tblGrid>
      <w:tr w14:paraId="7279A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5" w:type="dxa"/>
            <w:vAlign w:val="center"/>
          </w:tcPr>
          <w:p w14:paraId="08C70B25">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1609" w:type="dxa"/>
            <w:vAlign w:val="center"/>
          </w:tcPr>
          <w:p w14:paraId="1303C828">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标的名称</w:t>
            </w:r>
          </w:p>
        </w:tc>
        <w:tc>
          <w:tcPr>
            <w:tcW w:w="1187" w:type="dxa"/>
            <w:vAlign w:val="center"/>
          </w:tcPr>
          <w:p w14:paraId="3E8E92CA">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数量</w:t>
            </w:r>
          </w:p>
        </w:tc>
        <w:tc>
          <w:tcPr>
            <w:tcW w:w="1776" w:type="dxa"/>
            <w:vAlign w:val="center"/>
          </w:tcPr>
          <w:p w14:paraId="5BAB45F5">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标的金额 （元）</w:t>
            </w:r>
          </w:p>
        </w:tc>
        <w:tc>
          <w:tcPr>
            <w:tcW w:w="1187" w:type="dxa"/>
            <w:vAlign w:val="center"/>
          </w:tcPr>
          <w:p w14:paraId="54DD8C13">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计量单位</w:t>
            </w:r>
          </w:p>
        </w:tc>
        <w:tc>
          <w:tcPr>
            <w:tcW w:w="1187" w:type="dxa"/>
            <w:vAlign w:val="center"/>
          </w:tcPr>
          <w:p w14:paraId="799CDD2C">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所属行业</w:t>
            </w:r>
          </w:p>
        </w:tc>
        <w:tc>
          <w:tcPr>
            <w:tcW w:w="1187" w:type="dxa"/>
            <w:vAlign w:val="center"/>
          </w:tcPr>
          <w:p w14:paraId="65521E6E">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是否允许进口产品</w:t>
            </w:r>
          </w:p>
        </w:tc>
      </w:tr>
      <w:tr w14:paraId="41599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5" w:type="dxa"/>
            <w:vAlign w:val="center"/>
          </w:tcPr>
          <w:p w14:paraId="05F67EB7">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1609" w:type="dxa"/>
            <w:vAlign w:val="center"/>
          </w:tcPr>
          <w:p w14:paraId="41323C13">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核酸质谱系统</w:t>
            </w:r>
          </w:p>
        </w:tc>
        <w:tc>
          <w:tcPr>
            <w:tcW w:w="1187" w:type="dxa"/>
            <w:vAlign w:val="top"/>
          </w:tcPr>
          <w:p w14:paraId="6DBE68DF">
            <w:pPr>
              <w:spacing w:line="360" w:lineRule="auto"/>
              <w:jc w:val="center"/>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1.00</w:t>
            </w:r>
          </w:p>
        </w:tc>
        <w:tc>
          <w:tcPr>
            <w:tcW w:w="1776" w:type="dxa"/>
            <w:vAlign w:val="top"/>
          </w:tcPr>
          <w:p w14:paraId="7C570CA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1,600,000.00</w:t>
            </w:r>
          </w:p>
        </w:tc>
        <w:tc>
          <w:tcPr>
            <w:tcW w:w="1187" w:type="dxa"/>
            <w:vAlign w:val="top"/>
          </w:tcPr>
          <w:p w14:paraId="6A2EC7FD">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套</w:t>
            </w:r>
          </w:p>
        </w:tc>
        <w:tc>
          <w:tcPr>
            <w:tcW w:w="1187" w:type="dxa"/>
            <w:vAlign w:val="top"/>
          </w:tcPr>
          <w:p w14:paraId="75A7FD6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工业</w:t>
            </w:r>
          </w:p>
        </w:tc>
        <w:tc>
          <w:tcPr>
            <w:tcW w:w="1187" w:type="dxa"/>
            <w:vAlign w:val="top"/>
          </w:tcPr>
          <w:p w14:paraId="3364415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否</w:t>
            </w:r>
          </w:p>
        </w:tc>
      </w:tr>
    </w:tbl>
    <w:p w14:paraId="55553470">
      <w:pPr>
        <w:pStyle w:val="54"/>
        <w:widowControl w:val="0"/>
        <w:spacing w:line="360" w:lineRule="auto"/>
        <w:ind w:firstLine="480" w:firstLineChars="200"/>
        <w:rPr>
          <w:rFonts w:hint="default" w:asciiTheme="minorEastAsia" w:hAnsiTheme="minorEastAsia"/>
          <w:color w:val="auto"/>
          <w:sz w:val="24"/>
          <w:szCs w:val="24"/>
          <w:highlight w:val="none"/>
        </w:rPr>
      </w:pPr>
    </w:p>
    <w:p w14:paraId="19AB5EB0">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w:t>
      </w:r>
    </w:p>
    <w:p w14:paraId="2A32341B">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（1）报价要求：</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4"/>
        <w:gridCol w:w="3020"/>
        <w:gridCol w:w="734"/>
        <w:gridCol w:w="734"/>
        <w:gridCol w:w="1656"/>
        <w:gridCol w:w="1375"/>
        <w:gridCol w:w="1033"/>
      </w:tblGrid>
      <w:tr w14:paraId="733C2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7" w:type="dxa"/>
            <w:vAlign w:val="center"/>
          </w:tcPr>
          <w:p w14:paraId="095BCAD7">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3046" w:type="dxa"/>
            <w:vAlign w:val="center"/>
          </w:tcPr>
          <w:p w14:paraId="6BC32A76">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报价内容</w:t>
            </w:r>
          </w:p>
        </w:tc>
        <w:tc>
          <w:tcPr>
            <w:tcW w:w="737" w:type="dxa"/>
            <w:vAlign w:val="center"/>
          </w:tcPr>
          <w:p w14:paraId="5BC7742A">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计量</w:t>
            </w:r>
          </w:p>
          <w:p w14:paraId="3FD72DAD">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w:t>
            </w:r>
          </w:p>
        </w:tc>
        <w:tc>
          <w:tcPr>
            <w:tcW w:w="737" w:type="dxa"/>
            <w:vAlign w:val="center"/>
          </w:tcPr>
          <w:p w14:paraId="565CC2EA">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w:t>
            </w:r>
          </w:p>
          <w:p w14:paraId="6CE99B75">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w:t>
            </w:r>
          </w:p>
        </w:tc>
        <w:tc>
          <w:tcPr>
            <w:tcW w:w="1384" w:type="dxa"/>
            <w:vAlign w:val="center"/>
          </w:tcPr>
          <w:p w14:paraId="48A6DDD2">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最高限价</w:t>
            </w:r>
          </w:p>
        </w:tc>
        <w:tc>
          <w:tcPr>
            <w:tcW w:w="1384" w:type="dxa"/>
            <w:vAlign w:val="center"/>
          </w:tcPr>
          <w:p w14:paraId="18ECAB87">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价款形式</w:t>
            </w:r>
          </w:p>
        </w:tc>
        <w:tc>
          <w:tcPr>
            <w:tcW w:w="1038" w:type="dxa"/>
            <w:vAlign w:val="center"/>
          </w:tcPr>
          <w:p w14:paraId="65F57DDE">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w:t>
            </w:r>
          </w:p>
          <w:p w14:paraId="4E80967D">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说明</w:t>
            </w:r>
          </w:p>
        </w:tc>
      </w:tr>
      <w:tr w14:paraId="0DAEF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7" w:type="dxa"/>
            <w:vAlign w:val="center"/>
          </w:tcPr>
          <w:p w14:paraId="084F1098">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3046" w:type="dxa"/>
            <w:vAlign w:val="center"/>
          </w:tcPr>
          <w:p w14:paraId="13CDAB32">
            <w:pPr>
              <w:pStyle w:val="54"/>
              <w:widowControl w:val="0"/>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核酸质谱系统</w:t>
            </w:r>
          </w:p>
        </w:tc>
        <w:tc>
          <w:tcPr>
            <w:tcW w:w="737" w:type="dxa"/>
            <w:vAlign w:val="center"/>
          </w:tcPr>
          <w:p w14:paraId="68F329AE">
            <w:pPr>
              <w:pStyle w:val="54"/>
              <w:widowControl w:val="0"/>
              <w:spacing w:line="360" w:lineRule="auto"/>
              <w:jc w:val="center"/>
              <w:rPr>
                <w:rFonts w:hint="default" w:asciiTheme="minorEastAsia" w:hAnsiTheme="minorEastAsia"/>
                <w:color w:val="auto"/>
                <w:sz w:val="24"/>
                <w:szCs w:val="24"/>
                <w:highlight w:val="none"/>
              </w:rPr>
            </w:pPr>
            <w:r>
              <w:rPr>
                <w:rFonts w:hint="eastAsia" w:asciiTheme="minorEastAsia" w:hAnsiTheme="minorEastAsia"/>
                <w:color w:val="auto"/>
                <w:sz w:val="24"/>
                <w:szCs w:val="24"/>
                <w:highlight w:val="none"/>
              </w:rPr>
              <w:t>套</w:t>
            </w:r>
          </w:p>
        </w:tc>
        <w:tc>
          <w:tcPr>
            <w:tcW w:w="737" w:type="dxa"/>
            <w:vAlign w:val="center"/>
          </w:tcPr>
          <w:p w14:paraId="7B70750A">
            <w:pPr>
              <w:pStyle w:val="54"/>
              <w:widowControl w:val="0"/>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元</w:t>
            </w:r>
          </w:p>
        </w:tc>
        <w:tc>
          <w:tcPr>
            <w:tcW w:w="1384" w:type="dxa"/>
            <w:vAlign w:val="center"/>
          </w:tcPr>
          <w:p w14:paraId="387AA6D3">
            <w:pPr>
              <w:pStyle w:val="54"/>
              <w:widowControl w:val="0"/>
              <w:spacing w:line="360" w:lineRule="auto"/>
              <w:jc w:val="center"/>
              <w:rPr>
                <w:rFonts w:hint="default" w:asciiTheme="minorEastAsia" w:hAnsiTheme="minorEastAsia"/>
                <w:color w:val="auto"/>
                <w:sz w:val="24"/>
                <w:szCs w:val="24"/>
                <w:highlight w:val="none"/>
              </w:rPr>
            </w:pPr>
            <w:r>
              <w:rPr>
                <w:rFonts w:hint="eastAsia" w:asciiTheme="minorEastAsia" w:hAnsiTheme="minorEastAsia"/>
                <w:color w:val="auto"/>
                <w:sz w:val="24"/>
                <w:szCs w:val="24"/>
                <w:highlight w:val="none"/>
              </w:rPr>
              <w:t>1,600,000.00</w:t>
            </w:r>
          </w:p>
        </w:tc>
        <w:tc>
          <w:tcPr>
            <w:tcW w:w="1384" w:type="dxa"/>
            <w:vAlign w:val="top"/>
          </w:tcPr>
          <w:p w14:paraId="6F7DC93E">
            <w:pPr>
              <w:pStyle w:val="54"/>
              <w:widowControl w:val="0"/>
              <w:spacing w:line="360" w:lineRule="auto"/>
              <w:jc w:val="center"/>
              <w:rPr>
                <w:rFonts w:hint="default"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总价</w:t>
            </w:r>
          </w:p>
        </w:tc>
        <w:tc>
          <w:tcPr>
            <w:tcW w:w="1038" w:type="dxa"/>
            <w:vAlign w:val="top"/>
          </w:tcPr>
          <w:p w14:paraId="73E0D59A">
            <w:pPr>
              <w:pStyle w:val="54"/>
              <w:widowControl w:val="0"/>
              <w:spacing w:line="360" w:lineRule="auto"/>
              <w:jc w:val="center"/>
              <w:rPr>
                <w:rFonts w:hint="default"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无</w:t>
            </w:r>
          </w:p>
        </w:tc>
      </w:tr>
    </w:tbl>
    <w:p w14:paraId="19627080">
      <w:pPr>
        <w:pStyle w:val="54"/>
        <w:widowControl w:val="0"/>
        <w:spacing w:line="360" w:lineRule="auto"/>
        <w:ind w:firstLine="480" w:firstLineChars="200"/>
        <w:rPr>
          <w:rFonts w:asciiTheme="minorEastAsia" w:hAnsiTheme="minorEastAsia"/>
          <w:color w:val="auto"/>
          <w:sz w:val="24"/>
          <w:szCs w:val="24"/>
          <w:highlight w:val="none"/>
        </w:rPr>
      </w:pPr>
      <w:r>
        <w:rPr>
          <w:rFonts w:asciiTheme="minorEastAsia" w:hAnsiTheme="minorEastAsia"/>
          <w:color w:val="auto"/>
          <w:sz w:val="24"/>
          <w:szCs w:val="24"/>
          <w:highlight w:val="none"/>
        </w:rPr>
        <w:t>（2）报价明细要求：</w:t>
      </w:r>
    </w:p>
    <w:p w14:paraId="49CACAF6">
      <w:pPr>
        <w:pStyle w:val="54"/>
        <w:widowControl w:val="0"/>
        <w:spacing w:line="360" w:lineRule="auto"/>
        <w:ind w:firstLine="480" w:firstLineChars="200"/>
        <w:rPr>
          <w:rFonts w:hint="default" w:asciiTheme="minorEastAsia" w:hAnsiTheme="minorEastAsia"/>
          <w:color w:val="auto"/>
          <w:sz w:val="24"/>
          <w:szCs w:val="24"/>
          <w:highlight w:val="none"/>
        </w:rPr>
      </w:pPr>
      <w:r>
        <w:rPr>
          <w:rFonts w:hint="eastAsia" w:asciiTheme="minorEastAsia" w:hAnsiTheme="minorEastAsia"/>
          <w:color w:val="auto"/>
          <w:sz w:val="24"/>
          <w:szCs w:val="24"/>
          <w:highlight w:val="none"/>
        </w:rPr>
        <w:t>核酸质谱系统</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4"/>
        <w:gridCol w:w="2119"/>
        <w:gridCol w:w="1256"/>
        <w:gridCol w:w="865"/>
        <w:gridCol w:w="865"/>
        <w:gridCol w:w="1656"/>
        <w:gridCol w:w="865"/>
        <w:gridCol w:w="866"/>
      </w:tblGrid>
      <w:tr w14:paraId="29A7A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1" w:hRule="atLeast"/>
          <w:jc w:val="center"/>
        </w:trPr>
        <w:tc>
          <w:tcPr>
            <w:tcW w:w="833" w:type="dxa"/>
            <w:vAlign w:val="center"/>
          </w:tcPr>
          <w:p w14:paraId="459C2C55">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2304" w:type="dxa"/>
            <w:vAlign w:val="center"/>
          </w:tcPr>
          <w:p w14:paraId="2E21D0E3">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报价明细内容</w:t>
            </w:r>
          </w:p>
        </w:tc>
        <w:tc>
          <w:tcPr>
            <w:tcW w:w="1345" w:type="dxa"/>
            <w:vAlign w:val="center"/>
          </w:tcPr>
          <w:p w14:paraId="4CCFE592">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w:t>
            </w:r>
          </w:p>
          <w:p w14:paraId="5D027F19">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要求</w:t>
            </w:r>
          </w:p>
        </w:tc>
        <w:tc>
          <w:tcPr>
            <w:tcW w:w="910" w:type="dxa"/>
            <w:vAlign w:val="center"/>
          </w:tcPr>
          <w:p w14:paraId="614C3302">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计量</w:t>
            </w:r>
          </w:p>
          <w:p w14:paraId="093398D6">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w:t>
            </w:r>
          </w:p>
        </w:tc>
        <w:tc>
          <w:tcPr>
            <w:tcW w:w="910" w:type="dxa"/>
            <w:vAlign w:val="center"/>
          </w:tcPr>
          <w:p w14:paraId="45184F48">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w:t>
            </w:r>
          </w:p>
          <w:p w14:paraId="48BB15E6">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w:t>
            </w:r>
          </w:p>
        </w:tc>
        <w:tc>
          <w:tcPr>
            <w:tcW w:w="910" w:type="dxa"/>
            <w:vAlign w:val="center"/>
          </w:tcPr>
          <w:p w14:paraId="1687E442">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最高</w:t>
            </w:r>
          </w:p>
          <w:p w14:paraId="39702F91">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限价</w:t>
            </w:r>
          </w:p>
        </w:tc>
        <w:tc>
          <w:tcPr>
            <w:tcW w:w="910" w:type="dxa"/>
            <w:vAlign w:val="center"/>
          </w:tcPr>
          <w:p w14:paraId="4A3DF738">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价款</w:t>
            </w:r>
          </w:p>
          <w:p w14:paraId="37C56E22">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形式</w:t>
            </w:r>
          </w:p>
        </w:tc>
        <w:tc>
          <w:tcPr>
            <w:tcW w:w="911" w:type="dxa"/>
            <w:vAlign w:val="center"/>
          </w:tcPr>
          <w:p w14:paraId="3F5E5A7A">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w:t>
            </w:r>
          </w:p>
          <w:p w14:paraId="26D2A8F6">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说明</w:t>
            </w:r>
          </w:p>
        </w:tc>
      </w:tr>
      <w:tr w14:paraId="7999C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3" w:type="dxa"/>
            <w:vAlign w:val="center"/>
          </w:tcPr>
          <w:p w14:paraId="1392B236">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2304" w:type="dxa"/>
            <w:vAlign w:val="center"/>
          </w:tcPr>
          <w:p w14:paraId="6DD1CC91">
            <w:pPr>
              <w:pStyle w:val="54"/>
              <w:widowControl w:val="0"/>
              <w:spacing w:line="360" w:lineRule="auto"/>
              <w:jc w:val="center"/>
              <w:rPr>
                <w:rFonts w:hint="default" w:asciiTheme="minorEastAsia" w:hAnsiTheme="minorEastAsia"/>
                <w:color w:val="auto"/>
                <w:sz w:val="24"/>
                <w:szCs w:val="24"/>
                <w:highlight w:val="none"/>
              </w:rPr>
            </w:pPr>
            <w:r>
              <w:rPr>
                <w:rFonts w:hint="eastAsia" w:asciiTheme="minorEastAsia" w:hAnsiTheme="minorEastAsia"/>
                <w:color w:val="auto"/>
                <w:sz w:val="24"/>
                <w:szCs w:val="24"/>
                <w:highlight w:val="none"/>
              </w:rPr>
              <w:t>核酸质谱系统</w:t>
            </w:r>
          </w:p>
        </w:tc>
        <w:tc>
          <w:tcPr>
            <w:tcW w:w="1345" w:type="dxa"/>
            <w:vAlign w:val="top"/>
          </w:tcPr>
          <w:p w14:paraId="33888D8E">
            <w:pPr>
              <w:pStyle w:val="54"/>
              <w:widowControl w:val="0"/>
              <w:spacing w:line="360" w:lineRule="auto"/>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含税报价</w:t>
            </w:r>
          </w:p>
        </w:tc>
        <w:tc>
          <w:tcPr>
            <w:tcW w:w="910" w:type="dxa"/>
            <w:vAlign w:val="top"/>
          </w:tcPr>
          <w:p w14:paraId="454601B3">
            <w:pPr>
              <w:pStyle w:val="54"/>
              <w:widowControl w:val="0"/>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套</w:t>
            </w:r>
          </w:p>
        </w:tc>
        <w:tc>
          <w:tcPr>
            <w:tcW w:w="910" w:type="dxa"/>
            <w:vAlign w:val="top"/>
          </w:tcPr>
          <w:p w14:paraId="488AB79C">
            <w:pPr>
              <w:pStyle w:val="54"/>
              <w:widowControl w:val="0"/>
              <w:spacing w:line="360" w:lineRule="auto"/>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元</w:t>
            </w:r>
          </w:p>
        </w:tc>
        <w:tc>
          <w:tcPr>
            <w:tcW w:w="910" w:type="dxa"/>
            <w:vAlign w:val="center"/>
          </w:tcPr>
          <w:p w14:paraId="34FEC174">
            <w:pPr>
              <w:pStyle w:val="54"/>
              <w:widowControl w:val="0"/>
              <w:spacing w:line="360" w:lineRule="auto"/>
              <w:jc w:val="center"/>
              <w:rPr>
                <w:rFonts w:hint="default" w:asciiTheme="minorEastAsia" w:hAnsiTheme="minorEastAsia"/>
                <w:color w:val="auto"/>
                <w:sz w:val="24"/>
                <w:szCs w:val="24"/>
                <w:highlight w:val="none"/>
              </w:rPr>
            </w:pPr>
            <w:r>
              <w:rPr>
                <w:rFonts w:hint="eastAsia" w:asciiTheme="minorEastAsia" w:hAnsiTheme="minorEastAsia"/>
                <w:color w:val="auto"/>
                <w:sz w:val="24"/>
                <w:szCs w:val="24"/>
                <w:highlight w:val="none"/>
              </w:rPr>
              <w:t>1,600,000.00</w:t>
            </w:r>
          </w:p>
        </w:tc>
        <w:tc>
          <w:tcPr>
            <w:tcW w:w="910" w:type="dxa"/>
            <w:vAlign w:val="top"/>
          </w:tcPr>
          <w:p w14:paraId="2F668A00">
            <w:pPr>
              <w:pStyle w:val="54"/>
              <w:widowControl w:val="0"/>
              <w:spacing w:line="360" w:lineRule="auto"/>
              <w:jc w:val="center"/>
              <w:rPr>
                <w:rFonts w:hint="default"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c>
          <w:tcPr>
            <w:tcW w:w="911" w:type="dxa"/>
            <w:vAlign w:val="top"/>
          </w:tcPr>
          <w:p w14:paraId="69281C35">
            <w:pPr>
              <w:pStyle w:val="54"/>
              <w:widowControl w:val="0"/>
              <w:spacing w:line="360" w:lineRule="auto"/>
              <w:jc w:val="center"/>
              <w:rPr>
                <w:rFonts w:hint="default"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tc>
      </w:tr>
    </w:tbl>
    <w:p w14:paraId="22203ED5">
      <w:pPr>
        <w:pStyle w:val="54"/>
        <w:widowControl w:val="0"/>
        <w:rPr>
          <w:rFonts w:hint="default"/>
          <w:color w:val="auto"/>
          <w:highlight w:val="none"/>
        </w:rPr>
      </w:pPr>
    </w:p>
    <w:p w14:paraId="2E5B150C">
      <w:pPr>
        <w:pStyle w:val="54"/>
        <w:widowControl w:val="0"/>
        <w:rPr>
          <w:rFonts w:hint="default"/>
          <w:color w:val="auto"/>
          <w:highlight w:val="none"/>
        </w:rPr>
      </w:pPr>
    </w:p>
    <w:p w14:paraId="0932D395">
      <w:pPr>
        <w:pStyle w:val="54"/>
        <w:widowControl w:val="0"/>
        <w:rPr>
          <w:rFonts w:hint="default"/>
          <w:color w:val="auto"/>
          <w:highlight w:val="none"/>
        </w:rPr>
        <w:sectPr>
          <w:pgSz w:w="11906" w:h="16838"/>
          <w:pgMar w:top="1418" w:right="1418" w:bottom="1418" w:left="1418" w:header="851" w:footer="992" w:gutter="0"/>
          <w:cols w:space="425" w:num="1"/>
          <w:docGrid w:type="lines" w:linePitch="312" w:charSpace="0"/>
        </w:sectPr>
      </w:pPr>
    </w:p>
    <w:p w14:paraId="4BA86268">
      <w:pPr>
        <w:pStyle w:val="54"/>
        <w:widowControl w:val="0"/>
        <w:rPr>
          <w:rFonts w:hint="default"/>
          <w:color w:val="auto"/>
          <w:highlight w:val="none"/>
        </w:rPr>
        <w:sectPr>
          <w:type w:val="continuous"/>
          <w:pgSz w:w="11906" w:h="16838"/>
          <w:pgMar w:top="1418" w:right="1418" w:bottom="1418" w:left="1418" w:header="851" w:footer="992" w:gutter="0"/>
          <w:cols w:space="425" w:num="1"/>
          <w:docGrid w:type="lines" w:linePitch="312" w:charSpace="0"/>
        </w:sectPr>
      </w:pPr>
    </w:p>
    <w:p w14:paraId="232A2464">
      <w:pPr>
        <w:pStyle w:val="2"/>
        <w:keepNext/>
        <w:keepLines/>
        <w:widowControl w:val="0"/>
        <w:spacing w:beforeLines="100" w:beforeAutospacing="0" w:afterLines="100" w:afterAutospacing="0"/>
        <w:jc w:val="center"/>
        <w:rPr>
          <w:rFonts w:ascii="黑体" w:hAnsi="黑体" w:eastAsia="黑体" w:cs="Times New Roman"/>
          <w:color w:val="auto"/>
          <w:kern w:val="0"/>
          <w:sz w:val="32"/>
          <w:szCs w:val="44"/>
          <w:highlight w:val="none"/>
        </w:rPr>
      </w:pPr>
      <w:bookmarkStart w:id="1" w:name="_Toc139103780"/>
      <w:r>
        <w:rPr>
          <w:rFonts w:ascii="黑体" w:hAnsi="黑体" w:eastAsia="黑体" w:cs="Times New Roman"/>
          <w:color w:val="auto"/>
          <w:kern w:val="0"/>
          <w:sz w:val="32"/>
          <w:szCs w:val="44"/>
          <w:highlight w:val="none"/>
        </w:rPr>
        <w:t>第二章</w:t>
      </w:r>
      <w:r>
        <w:rPr>
          <w:rFonts w:hint="eastAsia" w:ascii="黑体" w:hAnsi="黑体" w:eastAsia="黑体" w:cs="Times New Roman"/>
          <w:color w:val="auto"/>
          <w:kern w:val="0"/>
          <w:sz w:val="32"/>
          <w:szCs w:val="44"/>
          <w:highlight w:val="none"/>
        </w:rPr>
        <w:t xml:space="preserve">  </w:t>
      </w:r>
      <w:r>
        <w:rPr>
          <w:rFonts w:ascii="黑体" w:hAnsi="黑体" w:eastAsia="黑体" w:cs="Times New Roman"/>
          <w:color w:val="auto"/>
          <w:kern w:val="0"/>
          <w:sz w:val="32"/>
          <w:szCs w:val="44"/>
          <w:highlight w:val="none"/>
        </w:rPr>
        <w:t>投标人须知前附表</w:t>
      </w:r>
      <w:bookmarkEnd w:id="1"/>
    </w:p>
    <w:p w14:paraId="1299FAEE">
      <w:pPr>
        <w:pStyle w:val="3"/>
        <w:spacing w:beforeLines="100" w:afterLines="100" w:line="240" w:lineRule="auto"/>
        <w:jc w:val="center"/>
        <w:rPr>
          <w:rFonts w:ascii="黑体" w:hAnsi="黑体" w:eastAsia="黑体" w:cs="Times New Roman"/>
          <w:color w:val="auto"/>
          <w:kern w:val="0"/>
          <w:sz w:val="30"/>
          <w:highlight w:val="none"/>
        </w:rPr>
      </w:pPr>
      <w:bookmarkStart w:id="2" w:name="_Toc139103781"/>
      <w:r>
        <w:rPr>
          <w:rFonts w:ascii="黑体" w:hAnsi="黑体" w:eastAsia="黑体" w:cs="Times New Roman"/>
          <w:color w:val="auto"/>
          <w:kern w:val="0"/>
          <w:sz w:val="30"/>
          <w:highlight w:val="none"/>
        </w:rPr>
        <w:t>一、投标人须知前附表1</w:t>
      </w:r>
      <w:bookmarkEnd w:id="2"/>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1"/>
        <w:gridCol w:w="1418"/>
        <w:gridCol w:w="7189"/>
      </w:tblGrid>
      <w:tr w14:paraId="1FE9C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78" w:type="dxa"/>
            <w:gridSpan w:val="3"/>
            <w:vAlign w:val="center"/>
          </w:tcPr>
          <w:p w14:paraId="50F32CD8">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特别提示：本表与招标文件对应章节的内容若不一致，以本表为准。</w:t>
            </w:r>
          </w:p>
        </w:tc>
      </w:tr>
      <w:tr w14:paraId="5188C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18BCCB85">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1418" w:type="dxa"/>
            <w:vAlign w:val="center"/>
          </w:tcPr>
          <w:p w14:paraId="25D35C65">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招标文件</w:t>
            </w:r>
          </w:p>
          <w:p w14:paraId="338BEAA0">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（第三章）</w:t>
            </w:r>
          </w:p>
        </w:tc>
        <w:tc>
          <w:tcPr>
            <w:tcW w:w="7189" w:type="dxa"/>
            <w:vAlign w:val="center"/>
          </w:tcPr>
          <w:p w14:paraId="642AD542">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编列内容</w:t>
            </w:r>
          </w:p>
        </w:tc>
      </w:tr>
      <w:tr w14:paraId="22E11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5251B6E8">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1418" w:type="dxa"/>
            <w:vAlign w:val="center"/>
          </w:tcPr>
          <w:p w14:paraId="019ABFD9">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6.1</w:t>
            </w:r>
          </w:p>
        </w:tc>
        <w:tc>
          <w:tcPr>
            <w:tcW w:w="7189" w:type="dxa"/>
            <w:vAlign w:val="center"/>
          </w:tcPr>
          <w:p w14:paraId="0E9D1365">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是否组织现场考察或召开开标前答疑会：</w:t>
            </w:r>
          </w:p>
          <w:p w14:paraId="11C8FA6E">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采购包1：不组织</w:t>
            </w:r>
          </w:p>
        </w:tc>
      </w:tr>
      <w:tr w14:paraId="0378E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40A2BB6C">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w:t>
            </w:r>
          </w:p>
        </w:tc>
        <w:tc>
          <w:tcPr>
            <w:tcW w:w="1418" w:type="dxa"/>
            <w:vAlign w:val="center"/>
          </w:tcPr>
          <w:p w14:paraId="7F9110FC">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10.4</w:t>
            </w:r>
          </w:p>
        </w:tc>
        <w:tc>
          <w:tcPr>
            <w:tcW w:w="7189" w:type="dxa"/>
            <w:vAlign w:val="center"/>
          </w:tcPr>
          <w:p w14:paraId="6796FF3E">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投标文件的份数：</w:t>
            </w:r>
          </w:p>
          <w:p w14:paraId="2871CADC">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（1）可读介质（光盘或U盘）0份：投标人应将其上传至福建省政府采购网上公开信息系统的电子投标文件在该可读介质中另存0份。</w:t>
            </w:r>
          </w:p>
          <w:p w14:paraId="384F384A">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（2）电子投标文件：详见投标人须知前附表2《关于电子招标投标活动的专门规定》。</w:t>
            </w:r>
          </w:p>
        </w:tc>
      </w:tr>
      <w:tr w14:paraId="6A49C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34949182">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w:t>
            </w:r>
          </w:p>
        </w:tc>
        <w:tc>
          <w:tcPr>
            <w:tcW w:w="1418" w:type="dxa"/>
            <w:vAlign w:val="center"/>
          </w:tcPr>
          <w:p w14:paraId="045FE17E">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10.7-（1）</w:t>
            </w:r>
          </w:p>
        </w:tc>
        <w:tc>
          <w:tcPr>
            <w:tcW w:w="7189" w:type="dxa"/>
            <w:vAlign w:val="center"/>
          </w:tcPr>
          <w:p w14:paraId="703D5F69">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是否允许中标人将本项目的非主体、非关键性工作进行分包：</w:t>
            </w:r>
          </w:p>
          <w:p w14:paraId="35D4C2E9">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采购包1：不允许合同分包；</w:t>
            </w:r>
          </w:p>
        </w:tc>
      </w:tr>
      <w:tr w14:paraId="0AF3C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6F82C71E">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w:t>
            </w:r>
          </w:p>
        </w:tc>
        <w:tc>
          <w:tcPr>
            <w:tcW w:w="1418" w:type="dxa"/>
            <w:vAlign w:val="center"/>
          </w:tcPr>
          <w:p w14:paraId="6953FEAB">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10.8-（1）</w:t>
            </w:r>
          </w:p>
        </w:tc>
        <w:tc>
          <w:tcPr>
            <w:tcW w:w="7189" w:type="dxa"/>
            <w:vAlign w:val="center"/>
          </w:tcPr>
          <w:p w14:paraId="214788D2">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投标有效期：投标截止时间起90个日历日。</w:t>
            </w:r>
          </w:p>
        </w:tc>
      </w:tr>
      <w:tr w14:paraId="51182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63283572">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w:t>
            </w:r>
          </w:p>
        </w:tc>
        <w:tc>
          <w:tcPr>
            <w:tcW w:w="1418" w:type="dxa"/>
            <w:vAlign w:val="center"/>
          </w:tcPr>
          <w:p w14:paraId="4D659D3C">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12.1</w:t>
            </w:r>
          </w:p>
        </w:tc>
        <w:tc>
          <w:tcPr>
            <w:tcW w:w="7189" w:type="dxa"/>
            <w:vAlign w:val="center"/>
          </w:tcPr>
          <w:p w14:paraId="16558A21">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确定中标候选人名单：</w:t>
            </w:r>
          </w:p>
          <w:p w14:paraId="639BD5B6">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采购包1：3名</w:t>
            </w:r>
          </w:p>
        </w:tc>
      </w:tr>
      <w:tr w14:paraId="1C7CE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7C030A19">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w:t>
            </w:r>
          </w:p>
        </w:tc>
        <w:tc>
          <w:tcPr>
            <w:tcW w:w="1418" w:type="dxa"/>
            <w:vAlign w:val="center"/>
          </w:tcPr>
          <w:p w14:paraId="2ACD79F4">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12.2</w:t>
            </w:r>
          </w:p>
        </w:tc>
        <w:tc>
          <w:tcPr>
            <w:tcW w:w="7189" w:type="dxa"/>
            <w:vAlign w:val="center"/>
          </w:tcPr>
          <w:p w14:paraId="052FF11C">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本项目中标人的确定（以采购包为单位）：</w:t>
            </w:r>
          </w:p>
          <w:p w14:paraId="39E43F56">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（1）采购人应在政府采购招投标管理办法规定的时限内确定中标人。</w:t>
            </w:r>
          </w:p>
          <w:p w14:paraId="13C6A705">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（2）若出现中标候选人并列情形，则按照下列方式确定中标人：</w:t>
            </w:r>
          </w:p>
          <w:p w14:paraId="6DEF2EE5">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①招标文件规定的方式：</w:t>
            </w:r>
          </w:p>
          <w:p w14:paraId="03FFE5F3">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确定技术项总得分较高的中标候选人为中标人。若技术项总得分相同的，则采取随机抽取的方式确定。</w:t>
            </w:r>
          </w:p>
          <w:p w14:paraId="09F35646">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②若本款第①点规定方式为“无”，则按照下列方式确定：</w:t>
            </w:r>
          </w:p>
          <w:p w14:paraId="59BFCADE">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无</w:t>
            </w:r>
          </w:p>
          <w:p w14:paraId="1D56BE7D">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③若本款第①、②点规定方式均为“无”，则按照下列方式确定：随机抽取。</w:t>
            </w:r>
          </w:p>
          <w:p w14:paraId="1F79002C">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（3）本项目确定的中标人家数：</w:t>
            </w:r>
          </w:p>
          <w:p w14:paraId="69E3C8CB">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采购包1：1名</w:t>
            </w:r>
          </w:p>
        </w:tc>
      </w:tr>
      <w:tr w14:paraId="3E927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06C65DC7">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w:t>
            </w:r>
          </w:p>
        </w:tc>
        <w:tc>
          <w:tcPr>
            <w:tcW w:w="1418" w:type="dxa"/>
            <w:vAlign w:val="center"/>
          </w:tcPr>
          <w:p w14:paraId="31E2F6BB">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13.2</w:t>
            </w:r>
          </w:p>
        </w:tc>
        <w:tc>
          <w:tcPr>
            <w:tcW w:w="7189" w:type="dxa"/>
            <w:vAlign w:val="center"/>
          </w:tcPr>
          <w:p w14:paraId="754233A4">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合同签订时限：自中标通知书发出之日起20个日历日内。</w:t>
            </w:r>
          </w:p>
        </w:tc>
      </w:tr>
      <w:tr w14:paraId="053C7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7E8A15B7">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w:t>
            </w:r>
          </w:p>
        </w:tc>
        <w:tc>
          <w:tcPr>
            <w:tcW w:w="1418" w:type="dxa"/>
            <w:vAlign w:val="center"/>
          </w:tcPr>
          <w:p w14:paraId="42F788CC">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15.1-（2）</w:t>
            </w:r>
          </w:p>
        </w:tc>
        <w:tc>
          <w:tcPr>
            <w:tcW w:w="7189" w:type="dxa"/>
            <w:vAlign w:val="center"/>
          </w:tcPr>
          <w:p w14:paraId="39881BFE">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质疑函原件应采用下列方式提交：书面形式。</w:t>
            </w:r>
          </w:p>
        </w:tc>
      </w:tr>
      <w:tr w14:paraId="72978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58CBCB25">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w:t>
            </w:r>
          </w:p>
        </w:tc>
        <w:tc>
          <w:tcPr>
            <w:tcW w:w="1418" w:type="dxa"/>
            <w:vAlign w:val="center"/>
          </w:tcPr>
          <w:p w14:paraId="79321DF0">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15.4</w:t>
            </w:r>
          </w:p>
        </w:tc>
        <w:tc>
          <w:tcPr>
            <w:tcW w:w="7189" w:type="dxa"/>
            <w:vAlign w:val="center"/>
          </w:tcPr>
          <w:p w14:paraId="42ED6835">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招标文件的质疑</w:t>
            </w:r>
          </w:p>
          <w:p w14:paraId="0B4A2F9F">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（1）潜在投标人可在质疑时效期间内对招标文件以书面形式提出质疑。</w:t>
            </w:r>
          </w:p>
          <w:p w14:paraId="77BC3721">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（2）质疑时效期间：应在依法获取招标文件之日起7个工作日内向</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提出，依法获取招标文件的时间以福建省政府采购网上公开信息系统记载的为准。</w:t>
            </w:r>
          </w:p>
          <w:p w14:paraId="6F0FDE2C">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※除上述规定外，对招标文件提出的质疑还应符合招标文件第三章第15.1条的有关规定。</w:t>
            </w:r>
          </w:p>
        </w:tc>
      </w:tr>
      <w:tr w14:paraId="09937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09440411">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w:t>
            </w:r>
          </w:p>
        </w:tc>
        <w:tc>
          <w:tcPr>
            <w:tcW w:w="1418" w:type="dxa"/>
            <w:vAlign w:val="center"/>
          </w:tcPr>
          <w:p w14:paraId="2D8E90A8">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16.1</w:t>
            </w:r>
          </w:p>
        </w:tc>
        <w:tc>
          <w:tcPr>
            <w:tcW w:w="7189" w:type="dxa"/>
            <w:vAlign w:val="center"/>
          </w:tcPr>
          <w:p w14:paraId="0584AA48">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监督管理部门：厦门市财政局（仅限依法进行政府采购的货物或服务类项目）。</w:t>
            </w:r>
          </w:p>
        </w:tc>
      </w:tr>
      <w:tr w14:paraId="7A020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22825AD4">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w:t>
            </w:r>
          </w:p>
        </w:tc>
        <w:tc>
          <w:tcPr>
            <w:tcW w:w="1418" w:type="dxa"/>
            <w:vAlign w:val="center"/>
          </w:tcPr>
          <w:p w14:paraId="01C02530">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18.1</w:t>
            </w:r>
          </w:p>
        </w:tc>
        <w:tc>
          <w:tcPr>
            <w:tcW w:w="7189" w:type="dxa"/>
            <w:vAlign w:val="center"/>
          </w:tcPr>
          <w:p w14:paraId="6E25EAB5">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财政部和福建省财政厅指定的政府采购信息发布媒体（以下简称：“指定媒体”）：</w:t>
            </w:r>
          </w:p>
          <w:p w14:paraId="5615C379">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（1）中国政府采购网，网址www.ccgp.gov.cn。</w:t>
            </w:r>
          </w:p>
          <w:p w14:paraId="3DE2507C">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（2）中国政府采购网福建分网（福建省政府采购网），网址zfcg.czt.fujian.gov.cn。</w:t>
            </w:r>
          </w:p>
          <w:p w14:paraId="18581AA1">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※若出现上述指定媒体信息不一致情形，应以中国政府采购网福建分网（福建省政府采购网）发布的为准。</w:t>
            </w:r>
          </w:p>
        </w:tc>
      </w:tr>
      <w:tr w14:paraId="703CF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1" w:type="dxa"/>
            <w:vAlign w:val="center"/>
          </w:tcPr>
          <w:p w14:paraId="32DD39E2">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w:t>
            </w:r>
          </w:p>
        </w:tc>
        <w:tc>
          <w:tcPr>
            <w:tcW w:w="1418" w:type="dxa"/>
            <w:vAlign w:val="center"/>
          </w:tcPr>
          <w:p w14:paraId="32F6F5AC">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19</w:t>
            </w:r>
          </w:p>
        </w:tc>
        <w:tc>
          <w:tcPr>
            <w:tcW w:w="7189" w:type="dxa"/>
            <w:vAlign w:val="center"/>
          </w:tcPr>
          <w:p w14:paraId="4608398C">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其他事项：</w:t>
            </w:r>
          </w:p>
          <w:p w14:paraId="29BD4072">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（1）本项目代理服务费：</w:t>
            </w:r>
          </w:p>
          <w:p w14:paraId="6566DD87">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本项目收取代理服务费</w:t>
            </w:r>
          </w:p>
          <w:p w14:paraId="71283303">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代理服务费用收取对象：中标/成交供应商</w:t>
            </w:r>
          </w:p>
          <w:p w14:paraId="4543AF2A">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代理服务费收费标准：</w:t>
            </w:r>
            <w:r>
              <w:rPr>
                <w:rFonts w:hint="default" w:asciiTheme="minorEastAsia" w:hAnsiTheme="minorEastAsia"/>
                <w:color w:val="auto"/>
                <w:sz w:val="24"/>
                <w:szCs w:val="24"/>
                <w:highlight w:val="none"/>
              </w:rPr>
              <w:t xml:space="preserve"> （1）以单个采购包的中标总金额为准，按差额定率累进法计取，具体按以下标准的47%计取：（0，100万元]，1.50%；（100万元，500万元]，1.10%；（2）代理服务费由中标人在领取中标通知书的同时，以转账、电汇、现金存款等付款方式一次性缴清。（3）经评标委员会认定中标供应商为中小企业的，中标后可享受代理服务费下浮10%的优惠。（4）因供应商自身原因导致最终无法承接项目的，代理服务费不予退还。（5）代理服务费缴交账户：开户行：中国光大银行股份有限公司厦门分行营业部；账号：37510188000652846；收款单位：厦门市公物投资管理有限公司。</w:t>
            </w:r>
          </w:p>
          <w:p w14:paraId="2CAD7FF0">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（2）其他：</w:t>
            </w:r>
          </w:p>
          <w:p w14:paraId="53D20849">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本项目招标文件第五章增加补充条款，补充条款内容与招标文件其他地方内容不一致的，以补充条款内容为准。请投标人仔细阅读。</w:t>
            </w:r>
          </w:p>
        </w:tc>
      </w:tr>
      <w:tr w14:paraId="56A0C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89" w:type="dxa"/>
            <w:gridSpan w:val="2"/>
            <w:vAlign w:val="center"/>
          </w:tcPr>
          <w:p w14:paraId="144D7A6F">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w:t>
            </w:r>
          </w:p>
        </w:tc>
        <w:tc>
          <w:tcPr>
            <w:tcW w:w="7189" w:type="dxa"/>
            <w:vAlign w:val="center"/>
          </w:tcPr>
          <w:p w14:paraId="1D97BF4E">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后有投标人须知前附表2，请勿遗漏。</w:t>
            </w:r>
          </w:p>
        </w:tc>
      </w:tr>
    </w:tbl>
    <w:p w14:paraId="0EFA30BD">
      <w:pPr>
        <w:pStyle w:val="3"/>
        <w:spacing w:beforeLines="100" w:afterLines="100" w:line="240" w:lineRule="auto"/>
        <w:jc w:val="center"/>
        <w:rPr>
          <w:rFonts w:ascii="黑体" w:hAnsi="黑体" w:eastAsia="黑体" w:cs="Times New Roman"/>
          <w:color w:val="auto"/>
          <w:kern w:val="0"/>
          <w:sz w:val="30"/>
          <w:highlight w:val="none"/>
        </w:rPr>
      </w:pPr>
      <w:bookmarkStart w:id="3" w:name="_Toc139103782"/>
      <w:r>
        <w:rPr>
          <w:rFonts w:ascii="黑体" w:hAnsi="黑体" w:eastAsia="黑体" w:cs="Times New Roman"/>
          <w:color w:val="auto"/>
          <w:kern w:val="0"/>
          <w:sz w:val="30"/>
          <w:highlight w:val="none"/>
        </w:rPr>
        <w:t>二、投标人须知前附表2</w:t>
      </w:r>
      <w:bookmarkEnd w:id="3"/>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3"/>
        <w:gridCol w:w="8454"/>
      </w:tblGrid>
      <w:tr w14:paraId="5899D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57" w:type="dxa"/>
            <w:gridSpan w:val="2"/>
            <w:vAlign w:val="center"/>
          </w:tcPr>
          <w:p w14:paraId="148F2BEF">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关于电子招标投标活动的专门规定</w:t>
            </w:r>
          </w:p>
        </w:tc>
      </w:tr>
      <w:tr w14:paraId="28D77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3" w:type="dxa"/>
            <w:vAlign w:val="center"/>
          </w:tcPr>
          <w:p w14:paraId="584666EC">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8454" w:type="dxa"/>
            <w:vAlign w:val="center"/>
          </w:tcPr>
          <w:p w14:paraId="1F5B92A9">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编列内容</w:t>
            </w:r>
          </w:p>
        </w:tc>
      </w:tr>
      <w:tr w14:paraId="44A77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03" w:type="dxa"/>
            <w:vAlign w:val="center"/>
          </w:tcPr>
          <w:p w14:paraId="61B0DA65">
            <w:pPr>
              <w:pStyle w:val="54"/>
              <w:widowControl w:val="0"/>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8454" w:type="dxa"/>
            <w:vAlign w:val="center"/>
          </w:tcPr>
          <w:p w14:paraId="3C6358E4">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（1）电子招标投标活动的专门规定适用本项目电子招标投标活动。</w:t>
            </w:r>
          </w:p>
          <w:p w14:paraId="1FF3B13E">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（2）将招标文件</w:t>
            </w:r>
          </w:p>
          <w:p w14:paraId="15329419">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“重大税收违法案件当事人名单”的内容修正为下列内容：</w:t>
            </w:r>
          </w:p>
          <w:p w14:paraId="0A115A9E">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“重大税收违法失信主体名单”后适用本项目的电子招标投标活动。</w:t>
            </w:r>
          </w:p>
          <w:p w14:paraId="685BB575">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14:paraId="49F2D522">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①电子招标投标活动的具体操作流程以福建省政府采购网上公开信息系统设定的为准。</w:t>
            </w:r>
          </w:p>
          <w:p w14:paraId="3D32E152">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②关于电子投标文件：</w:t>
            </w:r>
          </w:p>
          <w:p w14:paraId="4188D1E3">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a.投标人应按照福建省政府采购网上公开信息系统设定的评审节点编制电子投标文件，否则资格审查小组、评标委员会将按照不利于投标人的内容进行认定。</w:t>
            </w:r>
          </w:p>
          <w:p w14:paraId="4606DE41">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5D3CBD0">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③关于证明材料或资料：</w:t>
            </w:r>
          </w:p>
          <w:p w14:paraId="7370A012">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416CD5C">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33EFDCF1">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④关于“全称”、“投标人代表签字”及“加盖单位公章”：</w:t>
            </w:r>
          </w:p>
          <w:p w14:paraId="338A543C">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a.在电子投标文件中，涉及“全称”和“投标人代表签字”的内容可使用打字录入方式完成。</w:t>
            </w:r>
          </w:p>
          <w:p w14:paraId="080EC8E4">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b.在电子投标文件中，涉及“加盖单位公章”的内容应使用投标人的CA证书完成，否则投标无效。</w:t>
            </w:r>
          </w:p>
          <w:p w14:paraId="6060A85C">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c.在电子投标文件中，若投标人按照本增列内容第④点第b项规定加盖其单位公章，则出现无全称、或投标人代表未签字等情形，不视为投标无效。</w:t>
            </w:r>
          </w:p>
          <w:p w14:paraId="0FD4B359">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⑤关于投标人的CA证书：</w:t>
            </w:r>
          </w:p>
          <w:p w14:paraId="30B7D8F4">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a.投标人的CA证书应在系统规定时间内使用CA证书进行电子投标文件的解密操作，逾期未解密的视为放弃投标。</w:t>
            </w:r>
          </w:p>
          <w:p w14:paraId="117522DB">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b.投标人的CA证书可采用信封（包括但不限于：信封、档案袋、文件袋等）作为外包装进行单独包装。外包装密封、不密封皆可。</w:t>
            </w:r>
          </w:p>
          <w:p w14:paraId="1A01D672">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c.投标人的CA证书或外包装应标记“项目名称、项目编号、投标人的全称”等内容，以方便识别、使用。</w:t>
            </w:r>
          </w:p>
          <w:p w14:paraId="31055B78">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d.投标人的CA证书应能正常、有效使用，否则产生不利后果由投标人承担责任。</w:t>
            </w:r>
          </w:p>
          <w:p w14:paraId="5415BE91">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⑥关于投标截止时间过后</w:t>
            </w:r>
          </w:p>
          <w:p w14:paraId="25F25DBF">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a.未按招标文件规定提交投标保证金的，其投标将按无效投标处理。</w:t>
            </w:r>
          </w:p>
          <w:p w14:paraId="1EB6A582">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b.有下列情形之一的，其投标无效，其保证金不予退还或通过投标保函进行索赔：</w:t>
            </w:r>
          </w:p>
          <w:p w14:paraId="68B743CC">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b1不同投标人的电子投标文件具有相同内部识别码；</w:t>
            </w:r>
          </w:p>
          <w:p w14:paraId="32865DE9">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b2不同投标人的投标保证金从同一单位或个人的账户转出；</w:t>
            </w:r>
          </w:p>
          <w:p w14:paraId="4736128D">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b3投标人的投标保证金同一采购包下有其他投标人提交的投标保证金；</w:t>
            </w:r>
          </w:p>
          <w:p w14:paraId="4E160062">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b4不同投标人存在串通投标的其他情形。</w:t>
            </w:r>
          </w:p>
          <w:p w14:paraId="53AC58AA">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505B24E6">
            <w:pPr>
              <w:pStyle w:val="54"/>
              <w:widowControl w:val="0"/>
              <w:spacing w:line="360" w:lineRule="auto"/>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⑧其他：根据《福建省财政厅关于废止部分行政规范性文件的通知》（闽财规〔2023〕29号）规定，取消投标文件资格及资信证明部分、技术商务部分中不得出现报价内容的要求。</w:t>
            </w:r>
          </w:p>
        </w:tc>
      </w:tr>
    </w:tbl>
    <w:p w14:paraId="21502394">
      <w:pPr>
        <w:rPr>
          <w:color w:val="auto"/>
          <w:highlight w:val="none"/>
        </w:rPr>
      </w:pPr>
    </w:p>
    <w:p w14:paraId="64DD637D">
      <w:pPr>
        <w:rPr>
          <w:color w:val="auto"/>
          <w:highlight w:val="none"/>
        </w:rPr>
        <w:sectPr>
          <w:pgSz w:w="11906" w:h="16838"/>
          <w:pgMar w:top="1418" w:right="1418" w:bottom="1418" w:left="1418" w:header="851" w:footer="992" w:gutter="0"/>
          <w:cols w:space="425" w:num="1"/>
          <w:docGrid w:type="lines" w:linePitch="312" w:charSpace="0"/>
        </w:sectPr>
      </w:pPr>
    </w:p>
    <w:p w14:paraId="42A89925">
      <w:pPr>
        <w:pStyle w:val="2"/>
        <w:keepNext/>
        <w:keepLines/>
        <w:widowControl w:val="0"/>
        <w:spacing w:beforeLines="100" w:beforeAutospacing="0" w:afterLines="100" w:afterAutospacing="0"/>
        <w:jc w:val="center"/>
        <w:rPr>
          <w:rFonts w:ascii="黑体" w:hAnsi="黑体" w:eastAsia="黑体" w:cs="Times New Roman"/>
          <w:color w:val="auto"/>
          <w:kern w:val="0"/>
          <w:sz w:val="32"/>
          <w:szCs w:val="44"/>
          <w:highlight w:val="none"/>
        </w:rPr>
      </w:pPr>
      <w:bookmarkStart w:id="4" w:name="_Toc139103783"/>
      <w:r>
        <w:rPr>
          <w:rFonts w:ascii="黑体" w:hAnsi="黑体" w:eastAsia="黑体" w:cs="Times New Roman"/>
          <w:color w:val="auto"/>
          <w:kern w:val="0"/>
          <w:sz w:val="32"/>
          <w:szCs w:val="44"/>
          <w:highlight w:val="none"/>
        </w:rPr>
        <w:t>第三章</w:t>
      </w:r>
      <w:r>
        <w:rPr>
          <w:rFonts w:hint="eastAsia" w:ascii="黑体" w:hAnsi="黑体" w:eastAsia="黑体" w:cs="Times New Roman"/>
          <w:color w:val="auto"/>
          <w:kern w:val="0"/>
          <w:sz w:val="32"/>
          <w:szCs w:val="44"/>
          <w:highlight w:val="none"/>
        </w:rPr>
        <w:t xml:space="preserve">  </w:t>
      </w:r>
      <w:r>
        <w:rPr>
          <w:rFonts w:ascii="黑体" w:hAnsi="黑体" w:eastAsia="黑体" w:cs="Times New Roman"/>
          <w:color w:val="auto"/>
          <w:kern w:val="0"/>
          <w:sz w:val="32"/>
          <w:szCs w:val="44"/>
          <w:highlight w:val="none"/>
        </w:rPr>
        <w:t>投标人须知</w:t>
      </w:r>
      <w:bookmarkEnd w:id="4"/>
    </w:p>
    <w:p w14:paraId="7812E95F">
      <w:pPr>
        <w:pStyle w:val="3"/>
        <w:spacing w:beforeLines="100" w:afterLines="100" w:line="240" w:lineRule="auto"/>
        <w:jc w:val="center"/>
        <w:rPr>
          <w:rFonts w:ascii="黑体" w:hAnsi="黑体" w:eastAsia="黑体" w:cs="Times New Roman"/>
          <w:color w:val="auto"/>
          <w:kern w:val="0"/>
          <w:sz w:val="30"/>
          <w:highlight w:val="none"/>
        </w:rPr>
      </w:pPr>
      <w:bookmarkStart w:id="5" w:name="_Toc139103784"/>
      <w:r>
        <w:rPr>
          <w:rFonts w:ascii="黑体" w:hAnsi="黑体" w:eastAsia="黑体" w:cs="Times New Roman"/>
          <w:color w:val="auto"/>
          <w:kern w:val="0"/>
          <w:sz w:val="30"/>
          <w:highlight w:val="none"/>
        </w:rPr>
        <w:t>一、总则</w:t>
      </w:r>
      <w:bookmarkEnd w:id="5"/>
    </w:p>
    <w:p w14:paraId="16D1B12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1、适用范围</w:t>
      </w:r>
    </w:p>
    <w:p w14:paraId="75D2442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1.1适用于招标文件载明项目的政府采购活动（以下简称：“本次采购活动”）。</w:t>
      </w:r>
    </w:p>
    <w:p w14:paraId="3852602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2、定义</w:t>
      </w:r>
    </w:p>
    <w:p w14:paraId="234C0D8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2.1“采购标的”指招标文件载明的需要采购的货物或服务。</w:t>
      </w:r>
    </w:p>
    <w:p w14:paraId="7AC2F77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2.2“潜在投标人”指按照招标文件第一章第7条规定获取招标文件且有意向参加本项目投标的供应商。</w:t>
      </w:r>
    </w:p>
    <w:p w14:paraId="3A42B0B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2.3“投标人”指按照招标文件第一章第7条规定获取招标文件并参加本项目投标的供应商。</w:t>
      </w:r>
    </w:p>
    <w:p w14:paraId="725A7C23">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2.4“单位负责人”指单位法定代表人或法律、法规规定代表单位行使职权的主要负责人。</w:t>
      </w:r>
    </w:p>
    <w:p w14:paraId="0C9AABD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2.5“投标人代表”指投标人的单位负责人或“单位负责人授权书”中载明的接受授权方。</w:t>
      </w:r>
    </w:p>
    <w:p w14:paraId="2699CD35">
      <w:pPr>
        <w:pStyle w:val="3"/>
        <w:spacing w:beforeLines="100" w:afterLines="100" w:line="240" w:lineRule="auto"/>
        <w:jc w:val="center"/>
        <w:rPr>
          <w:rFonts w:ascii="黑体" w:hAnsi="黑体" w:eastAsia="黑体" w:cs="Times New Roman"/>
          <w:color w:val="auto"/>
          <w:kern w:val="0"/>
          <w:sz w:val="30"/>
          <w:highlight w:val="none"/>
        </w:rPr>
      </w:pPr>
      <w:bookmarkStart w:id="6" w:name="_Toc139103785"/>
      <w:r>
        <w:rPr>
          <w:rFonts w:ascii="黑体" w:hAnsi="黑体" w:eastAsia="黑体" w:cs="Times New Roman"/>
          <w:color w:val="auto"/>
          <w:kern w:val="0"/>
          <w:sz w:val="30"/>
          <w:highlight w:val="none"/>
        </w:rPr>
        <w:t>二、投标人</w:t>
      </w:r>
      <w:bookmarkEnd w:id="6"/>
    </w:p>
    <w:p w14:paraId="025BAC5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3、合格投标人</w:t>
      </w:r>
    </w:p>
    <w:p w14:paraId="38A353E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3.1一般规定</w:t>
      </w:r>
    </w:p>
    <w:p w14:paraId="6FC9481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43ADB71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0B344C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（2）投标人的资格要求：详见招标文件第一章。</w:t>
      </w:r>
    </w:p>
    <w:p w14:paraId="0721E14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3.2若本项目接受联合体投标且投标人为联合体，则联合体各方应遵守本章第3.1条规定，同时还应遵守下列规定：</w:t>
      </w:r>
    </w:p>
    <w:p w14:paraId="72A798D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（1）联合体各方应提交联合体协议，联合体协议应符合招标文件规定。</w:t>
      </w:r>
    </w:p>
    <w:p w14:paraId="61D0FB3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（2）联合体各方不得再单独参加或与其他供应商另外组成联合体参加同一合同项下的投标。</w:t>
      </w:r>
    </w:p>
    <w:p w14:paraId="3255953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（3）联合体各方应共同与采购人签订政府采购合同，就政府采购合同约定的事项对采购人承担连带责任。</w:t>
      </w:r>
    </w:p>
    <w:p w14:paraId="4CADA7B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D36A06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（5）联合体一方放弃中标的，视为联合体整体放弃中标，联合体各方承担连带责任。</w:t>
      </w:r>
    </w:p>
    <w:p w14:paraId="624D6A7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（6）如本项目不接受联合体投标而投标人为联合体的，或者本项目接受联合体投标但投标人组成的联合体不符合本章第3.2条规定的，投标无效。</w:t>
      </w:r>
    </w:p>
    <w:p w14:paraId="40B4756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4、投标费用</w:t>
      </w:r>
    </w:p>
    <w:p w14:paraId="0CE9253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4.1除招标文件另有规定外，投标人应自行承担其参加本项目投标所涉及的一切费用。</w:t>
      </w:r>
    </w:p>
    <w:p w14:paraId="1DEA4271">
      <w:pPr>
        <w:pStyle w:val="3"/>
        <w:spacing w:beforeLines="100" w:afterLines="100" w:line="240" w:lineRule="auto"/>
        <w:jc w:val="center"/>
        <w:rPr>
          <w:rFonts w:ascii="黑体" w:hAnsi="黑体" w:eastAsia="黑体" w:cs="Times New Roman"/>
          <w:color w:val="auto"/>
          <w:kern w:val="0"/>
          <w:sz w:val="30"/>
          <w:highlight w:val="none"/>
        </w:rPr>
      </w:pPr>
      <w:bookmarkStart w:id="7" w:name="_Toc139103786"/>
      <w:r>
        <w:rPr>
          <w:rFonts w:ascii="黑体" w:hAnsi="黑体" w:eastAsia="黑体" w:cs="Times New Roman"/>
          <w:color w:val="auto"/>
          <w:kern w:val="0"/>
          <w:sz w:val="30"/>
          <w:highlight w:val="none"/>
        </w:rPr>
        <w:t>三、招标</w:t>
      </w:r>
      <w:bookmarkEnd w:id="7"/>
    </w:p>
    <w:p w14:paraId="65DA36D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5、招标文件</w:t>
      </w:r>
    </w:p>
    <w:p w14:paraId="3469B78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5.1招标文件由下述部分组成：</w:t>
      </w:r>
    </w:p>
    <w:p w14:paraId="33F5097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（1）投标邀请</w:t>
      </w:r>
    </w:p>
    <w:p w14:paraId="579D57B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（2）投标人须知前附表（表1、2）</w:t>
      </w:r>
    </w:p>
    <w:p w14:paraId="7BA0996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（3）投标人须知</w:t>
      </w:r>
    </w:p>
    <w:p w14:paraId="2DFE950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（4）资格审查与评标</w:t>
      </w:r>
    </w:p>
    <w:p w14:paraId="1CE9DD4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（5）招标内容及要求</w:t>
      </w:r>
    </w:p>
    <w:p w14:paraId="217BEC4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（6）政府采购合同（参考文本）</w:t>
      </w:r>
    </w:p>
    <w:p w14:paraId="6A609CE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（7）电子投标文件格式</w:t>
      </w:r>
    </w:p>
    <w:p w14:paraId="6004A74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（8）按照招标文件规定作为招标文件组成部分的其他内容（若有）</w:t>
      </w:r>
    </w:p>
    <w:p w14:paraId="5AF6DD9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5.2招标文件的澄清或修改</w:t>
      </w:r>
    </w:p>
    <w:p w14:paraId="4BE7B60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可对已发出的招标文件进行必要的澄清或修改，但不得对招标文件载明的采购标的和投标人的资格要求进行改变。</w:t>
      </w:r>
    </w:p>
    <w:p w14:paraId="01981B4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（2）除本章第5.2条第（3）款规定情形外，澄清或修改的内容可能影响电子投标文件编制的，</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将在投标截止时间至少15个日历日前，在招标文件载明的指定媒体以更正公告的形式发布澄清或修改的内容。不足15个日历日的，</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将顺延投标截止时间及开标时间，</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和投标人受原投标截止时间及开标时间制约的所有权利和义务均延长至新的投标截止时间及开标时间。</w:t>
      </w:r>
    </w:p>
    <w:p w14:paraId="56C17149">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（3）澄清或修改的内容可能改变招标文件载明的采购标的和投标人的资格要求的，本次采购活动结束，</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将依法组织后续采购活动（包括但不限于：重新招标、采用其他方式采购等）。</w:t>
      </w:r>
    </w:p>
    <w:p w14:paraId="3A6A8CD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6、现场考察或开标前答疑会</w:t>
      </w:r>
    </w:p>
    <w:p w14:paraId="683519C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6.1是否组织现场考察或召开开标前答疑会：详见招标文件第二章。</w:t>
      </w:r>
    </w:p>
    <w:p w14:paraId="2F8CCD1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7、更正公告</w:t>
      </w:r>
    </w:p>
    <w:p w14:paraId="538FE54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7.1若</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发布更正公告，则更正公告及其所发布的内容或信息（包括但不限于：招标文件的澄清或修改、现场考察或答疑会的有关事宜等）作为招标文件组成部分，对投标人具有约束力。</w:t>
      </w:r>
    </w:p>
    <w:p w14:paraId="56BE8ED3">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7.2更正公告作为</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通知所有潜在投标人的书面形式。</w:t>
      </w:r>
    </w:p>
    <w:p w14:paraId="1648538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8、终止公告</w:t>
      </w:r>
    </w:p>
    <w:p w14:paraId="2BDAF31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8.1若出现因重大变故导致采购任务取消情形，</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可终止招标并发布终止公告。</w:t>
      </w:r>
    </w:p>
    <w:p w14:paraId="68C7088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8.2终止公告作为</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通知所有潜在投标人的书面形式。</w:t>
      </w:r>
    </w:p>
    <w:p w14:paraId="6A91A243">
      <w:pPr>
        <w:pStyle w:val="3"/>
        <w:spacing w:beforeLines="100" w:afterLines="100" w:line="240" w:lineRule="auto"/>
        <w:jc w:val="center"/>
        <w:rPr>
          <w:rFonts w:ascii="黑体" w:hAnsi="黑体" w:eastAsia="黑体" w:cs="Times New Roman"/>
          <w:color w:val="auto"/>
          <w:kern w:val="0"/>
          <w:sz w:val="30"/>
          <w:highlight w:val="none"/>
        </w:rPr>
      </w:pPr>
      <w:bookmarkStart w:id="8" w:name="_Toc139103787"/>
      <w:r>
        <w:rPr>
          <w:rFonts w:ascii="黑体" w:hAnsi="黑体" w:eastAsia="黑体" w:cs="Times New Roman"/>
          <w:color w:val="auto"/>
          <w:kern w:val="0"/>
          <w:sz w:val="30"/>
          <w:highlight w:val="none"/>
        </w:rPr>
        <w:t>四、投标</w:t>
      </w:r>
      <w:bookmarkEnd w:id="8"/>
    </w:p>
    <w:p w14:paraId="49D2A27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9、投标</w:t>
      </w:r>
    </w:p>
    <w:p w14:paraId="67EEE23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9.1投标人可对招标文件载明的全部或部分采购包进行投标。</w:t>
      </w:r>
    </w:p>
    <w:p w14:paraId="041657A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9.2投标人应对同一个采购包内的所有内容进行完整投标，否则投标无效。</w:t>
      </w:r>
    </w:p>
    <w:p w14:paraId="0FC9E01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9.3投标人代表只能接受一个投标人的授权参加投标，否则投标无效。</w:t>
      </w:r>
    </w:p>
    <w:p w14:paraId="68DFE61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9.4单位负责人为同一人或存在直接控股、管理关系的不同供应商，不得同时参加同一合同项下的投标，否则投标无效。</w:t>
      </w:r>
    </w:p>
    <w:p w14:paraId="4307F31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2E3267B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9.6列入失信被执行人、重大税收违法失信主体名单、政府采购严重违法失信行为记录名单及其他不符合政府采购法第二十二条规定条件的供应商，不得参加投标，否则投标无效。</w:t>
      </w:r>
    </w:p>
    <w:p w14:paraId="28B3E983">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9.7有下列情形之一的，视为投标人串通投标，其投标无效：</w:t>
      </w:r>
    </w:p>
    <w:p w14:paraId="6E6A7BC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（1）不同投标人的电子投标文件由同一单位或个人编制；</w:t>
      </w:r>
    </w:p>
    <w:p w14:paraId="5A7728F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（2）不同投标人委托同一单位或个人办理投标事宜；</w:t>
      </w:r>
    </w:p>
    <w:p w14:paraId="5138BDD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（3）不同投标人的电子投标文件载明的项目管理成员或联系人员为同一人；</w:t>
      </w:r>
    </w:p>
    <w:p w14:paraId="0D867D4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（4）不同投标人的电子投标文件异常一致或投标报价呈规律性差异；</w:t>
      </w:r>
    </w:p>
    <w:p w14:paraId="0E8B3D7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（5）不同投标人的电子投标文件相互混装；</w:t>
      </w:r>
    </w:p>
    <w:p w14:paraId="5E9692F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（6）不同投标人的投标保证金从同一单位或个人的账户转出；</w:t>
      </w:r>
    </w:p>
    <w:p w14:paraId="0821C4A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（7）有关法律、法规和规章及招标文件规定的其他串通投标情形。</w:t>
      </w:r>
    </w:p>
    <w:p w14:paraId="54C2068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10、电子投标文件</w:t>
      </w:r>
    </w:p>
    <w:p w14:paraId="114E04A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10.1电子投标文件的编制</w:t>
      </w:r>
    </w:p>
    <w:p w14:paraId="68921C7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（1）投标人应先仔细阅读招标文件的全部内容后，再进行电子投标文件的编制。</w:t>
      </w:r>
    </w:p>
    <w:p w14:paraId="4CE0D389">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（2）电子投标文件应按照本章第10.2条规定编制其组成部分。</w:t>
      </w:r>
    </w:p>
    <w:p w14:paraId="6B9324B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08B0D70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10.2电子投标文件由下述部分组成：</w:t>
      </w:r>
    </w:p>
    <w:p w14:paraId="3D75C18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（1）资格及资信证明部分</w:t>
      </w:r>
    </w:p>
    <w:p w14:paraId="3D95002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①投标函</w:t>
      </w:r>
    </w:p>
    <w:p w14:paraId="275631C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②投标人的资格及资信证明文件</w:t>
      </w:r>
    </w:p>
    <w:p w14:paraId="4DB0145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③投标保证金</w:t>
      </w:r>
    </w:p>
    <w:p w14:paraId="5413C4D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（2）报价部分</w:t>
      </w:r>
    </w:p>
    <w:p w14:paraId="2BC7FFA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①开标（报价）一览表</w:t>
      </w:r>
    </w:p>
    <w:p w14:paraId="0C43680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②投标（响应）报价明细表</w:t>
      </w:r>
    </w:p>
    <w:p w14:paraId="7750F10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③招标文件规定的价格扣除证明材料（若有）</w:t>
      </w:r>
    </w:p>
    <w:p w14:paraId="5B84074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④招标文件规定的加分证明材料（若有）</w:t>
      </w:r>
    </w:p>
    <w:p w14:paraId="7F21FCB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（3）技术商务部分</w:t>
      </w:r>
    </w:p>
    <w:p w14:paraId="76A6965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①标的说明一览表</w:t>
      </w:r>
    </w:p>
    <w:p w14:paraId="785BC6E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②技术和服务要求响应表</w:t>
      </w:r>
    </w:p>
    <w:p w14:paraId="1E64A33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③商务条件响应表</w:t>
      </w:r>
    </w:p>
    <w:p w14:paraId="6FFC6A8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④投标人提交的其他资料（若有）</w:t>
      </w:r>
    </w:p>
    <w:p w14:paraId="0015D0B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⑤招标文件规定作为电子投标文件组成部分的其他内容（若有）</w:t>
      </w:r>
    </w:p>
    <w:p w14:paraId="429EDE09">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10.3电子投标文件的语言</w:t>
      </w:r>
    </w:p>
    <w:p w14:paraId="0E1B65F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（1）除招标文件另有规定外，电子投标文件应使用中文文本，若有不同文本，以中文文本为准。</w:t>
      </w:r>
    </w:p>
    <w:p w14:paraId="3935ACC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65D4D9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10.4投标文件的份数：详见招标文件第二章。</w:t>
      </w:r>
    </w:p>
    <w:p w14:paraId="62AA84D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10.5电子投标文件的格式</w:t>
      </w:r>
    </w:p>
    <w:p w14:paraId="3962E70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（1）除招标文件另有规定外，电子投标文件应使用招标文件第七章规定的格式。</w:t>
      </w:r>
    </w:p>
    <w:p w14:paraId="03048E1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（2）除招标文件另有规定外，电子投标文件应使用不能擦去的墨料或墨水打印、书写或复印。</w:t>
      </w:r>
    </w:p>
    <w:p w14:paraId="01FA110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（3）除招标文件另有规定外，电子投标文件应使用人民币作为计量货币。</w:t>
      </w:r>
    </w:p>
    <w:p w14:paraId="5BA9130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（4）除招标文件另有规定外，签署、盖章应遵守下列规定：</w:t>
      </w:r>
    </w:p>
    <w:p w14:paraId="5527E5B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①电子投标文件应加盖投标人的单位公章。若投标人代表为单位授权的委托代理人，应提供“单位授权书”。</w:t>
      </w:r>
    </w:p>
    <w:p w14:paraId="0F45E28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②电子投标文件应没有涂改或行间插字，除非这些改动是根据</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的指示进行的，或是为改正投标人造成的应修改的错误而进行的。若有前述改动，应按照下列规定之一对改动处进行处理：</w:t>
      </w:r>
    </w:p>
    <w:p w14:paraId="41A12B03">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a.投标人代表签字确认；</w:t>
      </w:r>
    </w:p>
    <w:p w14:paraId="71D39EC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b.加盖投标人的单位公章或校正章。</w:t>
      </w:r>
    </w:p>
    <w:p w14:paraId="6AC4FE2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10.6投标报价</w:t>
      </w:r>
    </w:p>
    <w:p w14:paraId="4D7C5D63">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（1）投标报价超出最高限价将导致投标无效。</w:t>
      </w:r>
    </w:p>
    <w:p w14:paraId="4278653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（2）最高限价由采购人根据价格测算情况，在预算金额的额度内合理设定。最高限价不得超出预算金额。</w:t>
      </w:r>
    </w:p>
    <w:p w14:paraId="020883E9">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209E6E6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10.7分包</w:t>
      </w:r>
    </w:p>
    <w:p w14:paraId="61F7360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（1）是否允许中标人将本项目的非主体、非关键性工作进行分包：详见招标文件第二章。</w:t>
      </w:r>
    </w:p>
    <w:p w14:paraId="3E51AF3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E996F1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（3）招标文件允许中标人将非主体、非关键性工作进行分包的项目，有下列情形之一的，中标人不得分包：</w:t>
      </w:r>
    </w:p>
    <w:p w14:paraId="1441C8F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①电子投标文件中未载明分包承担主体；</w:t>
      </w:r>
    </w:p>
    <w:p w14:paraId="66F8660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②电子投标文件载明的分包承担主体不具备相应资质条件；</w:t>
      </w:r>
    </w:p>
    <w:p w14:paraId="799C111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③电子投标文件载明的分包承担主体拟再次分包；</w:t>
      </w:r>
    </w:p>
    <w:p w14:paraId="2EA78F7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④享受中小企业扶持政策获得政府采购合同的，小微企业不得将合同分包给大中型企业，中型企业不得将合同分包给大型企业。</w:t>
      </w:r>
    </w:p>
    <w:p w14:paraId="1D504EE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10.8投标有效期</w:t>
      </w:r>
    </w:p>
    <w:p w14:paraId="0D61781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（1）招标文件载明的投标有效期：详见招标文件第二章。</w:t>
      </w:r>
    </w:p>
    <w:p w14:paraId="6856D4A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（2）电子投标文件承诺的投标有效期不得少于招标文件载明的投标有效期，否则投标无效。</w:t>
      </w:r>
    </w:p>
    <w:p w14:paraId="7F19673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（3）根据本次采购活动的需要，</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可于投标有效期届满之前书面要求投标人延长投标有效期，投标人应在</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D2BE5E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10.9投标保证金</w:t>
      </w:r>
    </w:p>
    <w:p w14:paraId="06EEB1D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（1）投标保证金作为投标人按照招标文件规定履行相应投标责任、义务的约束及担保。</w:t>
      </w:r>
    </w:p>
    <w:p w14:paraId="4F50556F">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（2）投标人以电子保函形式提交投标保证金的，保函的有效期应等于或长于电子投标文件承诺的投标有效期，否则投标无效。</w:t>
      </w:r>
    </w:p>
    <w:p w14:paraId="4EC94020">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（3）提交</w:t>
      </w:r>
    </w:p>
    <w:p w14:paraId="3C651A08">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690884ED">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54D85DF">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③其他形式：</w:t>
      </w:r>
    </w:p>
    <w:p w14:paraId="21C4D3B4">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无</w:t>
      </w:r>
    </w:p>
    <w:p w14:paraId="068FBA4D">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④若本项目接受联合体投标且投标人为联合体，则联合体中的牵头方应按照本章第10.9条第（3）款第①、②、③点规定提交投标保证金。</w:t>
      </w:r>
    </w:p>
    <w:p w14:paraId="0D6C64F3">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※除招标文件另有规定外，未按照上述规定提交投标保证金将导致资格审查不合格。</w:t>
      </w:r>
    </w:p>
    <w:p w14:paraId="1A7BAEDC">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（4）退还</w:t>
      </w:r>
    </w:p>
    <w:p w14:paraId="55A2790A">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①在投标截止时间前撤回已提交的电子投标文件的投标人，其投标保证金将在</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收到投标人书面撤回通知之日起5个工作日内退回原账户。</w:t>
      </w:r>
    </w:p>
    <w:p w14:paraId="449F5BE0">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②未中标人的投标保证金将在中标通知书发出之日起5个工作日内退回原账户。</w:t>
      </w:r>
    </w:p>
    <w:p w14:paraId="52F9F550">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③中标人的投标保证金将在政府采购合同签订之日起5个工作日内退回原账户；合同签订之日以福建省政府采购网上公开信息系统记载的为准。</w:t>
      </w:r>
    </w:p>
    <w:p w14:paraId="3E444C14">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④终止招标的，</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将在终止公告发布之日起5个工作日内退回已收取的投标保证金及其在银行产生的孳息。</w:t>
      </w:r>
    </w:p>
    <w:p w14:paraId="32428648">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⑤除招标文件另有规定外，质疑或投诉涉及的投标人，若投标保证金尚未退还，则待质疑或投诉处理完毕后不计利息原额退还。</w:t>
      </w:r>
    </w:p>
    <w:p w14:paraId="1A64056E">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※本章第10.9条第（4）款第①、②、③点规定的投标保证金退还时限不包括因投标人自身原因导致无法及时退还而增加的时间。</w:t>
      </w:r>
    </w:p>
    <w:p w14:paraId="35D01982">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BA52F1B">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（6）有下列情形之一的，投标保证金将不予退还或通过投标保函进行索赔：</w:t>
      </w:r>
    </w:p>
    <w:p w14:paraId="3ACB4BB9">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①投标人串通投标；</w:t>
      </w:r>
    </w:p>
    <w:p w14:paraId="63A5188A">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②投标人提供虚假材料；</w:t>
      </w:r>
    </w:p>
    <w:p w14:paraId="03A58182">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③投标人采取不正当手段诋毁、排挤其他投标人；</w:t>
      </w:r>
    </w:p>
    <w:p w14:paraId="57167307">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④投标截止时间后，投标人在投标有效期内撤销电子投标文件；</w:t>
      </w:r>
    </w:p>
    <w:p w14:paraId="107A05A3">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⑤招标文件规定的其他不予退还情形；</w:t>
      </w:r>
    </w:p>
    <w:p w14:paraId="1A43C5E4">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⑥中标人有下列情形之一的：</w:t>
      </w:r>
    </w:p>
    <w:p w14:paraId="080F2C95">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a.除不可抗力外，因中标人自身原因未在中标通知书要求的期限内与采购人签订政府采购合同；</w:t>
      </w:r>
    </w:p>
    <w:p w14:paraId="6C89D941">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b.未按照招标文件、投标文件的约定签订政府采购合同或提交履约保证金。</w:t>
      </w:r>
    </w:p>
    <w:p w14:paraId="1EE2AA0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※若上述投标保证金不予退还情形给采购人（采购代理机构）造成损失，则投标人还要承担相应的赔偿责任。</w:t>
      </w:r>
    </w:p>
    <w:p w14:paraId="0024437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10.10电子投标文件的提交</w:t>
      </w:r>
    </w:p>
    <w:p w14:paraId="0C16AA5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（1）一个投标人只能提交一个电子投标文件，并按照招标文件第一章规定在系统上完成上传、解密操作。</w:t>
      </w:r>
    </w:p>
    <w:p w14:paraId="42A480E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10.11电子投标文件的补充、修改或撤回</w:t>
      </w:r>
    </w:p>
    <w:p w14:paraId="2B5C1E8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（1）投标截止时间前，投标人可对所提交的电子投标文件进行补充、修改或撤回，并书面通知</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w:t>
      </w:r>
    </w:p>
    <w:p w14:paraId="3F97F3A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（2）补充、修改的内容应按照本章第10.5条第（4）款规定进行签署、盖章，并按照本章第10.10条规定提交，否则将被拒收。</w:t>
      </w:r>
    </w:p>
    <w:p w14:paraId="052174F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※按照上述规定提交的补充、修改内容作为电子投标文件组成部分。</w:t>
      </w:r>
    </w:p>
    <w:p w14:paraId="5E3D6BB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10.12除招标文件另有规定外，有下列情形之一的，投标无效：</w:t>
      </w:r>
    </w:p>
    <w:p w14:paraId="1594862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（1）电子投标文件未按照招标文件要求签署、盖章；</w:t>
      </w:r>
    </w:p>
    <w:p w14:paraId="3512EF4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（2）不符合招标文件中规定的资格要求；</w:t>
      </w:r>
    </w:p>
    <w:p w14:paraId="128F6C0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（3）投标报价超过招标文件中规定的预算金额或最高限价；</w:t>
      </w:r>
    </w:p>
    <w:p w14:paraId="3F849CB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（4）电子投标文件含有采购人不能接受的附加条件；</w:t>
      </w:r>
    </w:p>
    <w:p w14:paraId="418AADF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（5）有关法律、法规和规章及招标文件规定的其他无效情形。</w:t>
      </w:r>
    </w:p>
    <w:p w14:paraId="0C3800A4">
      <w:pPr>
        <w:pStyle w:val="3"/>
        <w:spacing w:beforeLines="100" w:afterLines="100" w:line="240" w:lineRule="auto"/>
        <w:jc w:val="center"/>
        <w:rPr>
          <w:rFonts w:ascii="黑体" w:hAnsi="黑体" w:eastAsia="黑体" w:cs="Times New Roman"/>
          <w:color w:val="auto"/>
          <w:kern w:val="0"/>
          <w:sz w:val="30"/>
          <w:highlight w:val="none"/>
        </w:rPr>
      </w:pPr>
      <w:bookmarkStart w:id="9" w:name="_Toc139103788"/>
      <w:r>
        <w:rPr>
          <w:rFonts w:ascii="黑体" w:hAnsi="黑体" w:eastAsia="黑体" w:cs="Times New Roman"/>
          <w:color w:val="auto"/>
          <w:kern w:val="0"/>
          <w:sz w:val="30"/>
          <w:highlight w:val="none"/>
        </w:rPr>
        <w:t>五、开标</w:t>
      </w:r>
      <w:bookmarkEnd w:id="9"/>
    </w:p>
    <w:p w14:paraId="7461014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11、开标</w:t>
      </w:r>
    </w:p>
    <w:p w14:paraId="1C78B4D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11.1</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将在招标文件载明的开标时间及地点主持召开开标会，并邀请投标人参加。</w:t>
      </w:r>
    </w:p>
    <w:p w14:paraId="08E8083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11.2开标会的主持人、唱标人、记录人及其他工作人员（若有）均由</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派出，现场监督人员（若有）可由有关方面派出。</w:t>
      </w:r>
    </w:p>
    <w:p w14:paraId="1DE1895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26EC33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11.4开标会应遵守下列规定：</w:t>
      </w:r>
    </w:p>
    <w:p w14:paraId="6308493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B63CA8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BBA6FC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10C95C9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6FBE2B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（5）若投标人未到开标现场参加开标会，也未通过远程参加开标会的，视同认可开标结果。</w:t>
      </w:r>
    </w:p>
    <w:p w14:paraId="0687C0F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提出任何疑义或要求（包括质疑）。</w:t>
      </w:r>
    </w:p>
    <w:p w14:paraId="472086B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11.5投标截止时间后，参加投标的投标人不足三家的，不进行开标。同时，本次采购活动结束，</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将依法组织后续采购活动（包括但不限于：重新招标、采用其他方式采购等）。</w:t>
      </w:r>
    </w:p>
    <w:p w14:paraId="4CFDE11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11.6投标截止时间后撤销投标的处理</w:t>
      </w:r>
    </w:p>
    <w:p w14:paraId="477E08E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投标截止时间后，投标人在投标有效期内撤销投标的，其撤销投标的行为无效。</w:t>
      </w:r>
    </w:p>
    <w:p w14:paraId="0277EB81">
      <w:pPr>
        <w:pStyle w:val="3"/>
        <w:spacing w:beforeLines="100" w:afterLines="100" w:line="240" w:lineRule="auto"/>
        <w:jc w:val="center"/>
        <w:rPr>
          <w:rFonts w:ascii="黑体" w:hAnsi="黑体" w:eastAsia="黑体" w:cs="Times New Roman"/>
          <w:color w:val="auto"/>
          <w:kern w:val="0"/>
          <w:sz w:val="30"/>
          <w:highlight w:val="none"/>
        </w:rPr>
      </w:pPr>
      <w:bookmarkStart w:id="10" w:name="_Toc139103789"/>
      <w:r>
        <w:rPr>
          <w:rFonts w:ascii="黑体" w:hAnsi="黑体" w:eastAsia="黑体" w:cs="Times New Roman"/>
          <w:color w:val="auto"/>
          <w:kern w:val="0"/>
          <w:sz w:val="30"/>
          <w:highlight w:val="none"/>
        </w:rPr>
        <w:t>六、中标与政府采购合同</w:t>
      </w:r>
      <w:bookmarkEnd w:id="10"/>
    </w:p>
    <w:p w14:paraId="2830520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12、中标</w:t>
      </w:r>
    </w:p>
    <w:p w14:paraId="6CD0BB5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12.1本项目推荐的中标候选人家数：详见招标文件第二章。</w:t>
      </w:r>
    </w:p>
    <w:p w14:paraId="70EFEF9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12.2本项目中标人的确定：详见招标文件第二章。</w:t>
      </w:r>
    </w:p>
    <w:p w14:paraId="1CBA66F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12.3中标公告</w:t>
      </w:r>
    </w:p>
    <w:p w14:paraId="1A46567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（1）中标人确定之日起2个工作日内，</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将在招标文件载明的指定媒体以中标公告的形式发布中标结果。</w:t>
      </w:r>
    </w:p>
    <w:p w14:paraId="70238A1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（2）中标公告的公告期限为1个工作日。</w:t>
      </w:r>
    </w:p>
    <w:p w14:paraId="7776424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12.4中标通知书</w:t>
      </w:r>
    </w:p>
    <w:p w14:paraId="57FF726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（1）中标公告发布的同时，</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将向中标人发出中标通知书。</w:t>
      </w:r>
    </w:p>
    <w:p w14:paraId="2C4D2C4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（2）中标通知书发出后，采购人不得违法改变中标结果，中标人无正当理由不得放弃中标。</w:t>
      </w:r>
    </w:p>
    <w:p w14:paraId="65A21D3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13、政府采购合同</w:t>
      </w:r>
    </w:p>
    <w:p w14:paraId="50D4FCB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671943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13.2签订时限：详见须知前附表1的13.2。</w:t>
      </w:r>
    </w:p>
    <w:p w14:paraId="798DB24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13.3政府采购合同的履行、违约责任和解决争议的方法等适用民法典。</w:t>
      </w:r>
    </w:p>
    <w:p w14:paraId="7226DD0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13.4采购人与中标人应根据政府采购合同的约定依法履行合同义务。</w:t>
      </w:r>
    </w:p>
    <w:p w14:paraId="61834F0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13.5政府采购合同履行过程中，采购人若需追加与合同标的相同的货物或服务，则追加采购金额不得超过原合同采购金额的10%。</w:t>
      </w:r>
    </w:p>
    <w:p w14:paraId="7E83040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13.6中标人在政府采购合同履行过程中应遵守有关法律、法规和规章的强制性规定（即使前述强制性规定有可能在招标文件中未予列明）。</w:t>
      </w:r>
    </w:p>
    <w:p w14:paraId="01DB569E">
      <w:pPr>
        <w:pStyle w:val="3"/>
        <w:spacing w:beforeLines="100" w:afterLines="100" w:line="240" w:lineRule="auto"/>
        <w:jc w:val="center"/>
        <w:rPr>
          <w:rFonts w:ascii="黑体" w:hAnsi="黑体" w:eastAsia="黑体" w:cs="Times New Roman"/>
          <w:color w:val="auto"/>
          <w:kern w:val="0"/>
          <w:sz w:val="30"/>
          <w:highlight w:val="none"/>
        </w:rPr>
      </w:pPr>
      <w:bookmarkStart w:id="11" w:name="_Toc139103790"/>
      <w:r>
        <w:rPr>
          <w:rFonts w:ascii="黑体" w:hAnsi="黑体" w:eastAsia="黑体" w:cs="Times New Roman"/>
          <w:color w:val="auto"/>
          <w:kern w:val="0"/>
          <w:sz w:val="30"/>
          <w:highlight w:val="none"/>
        </w:rPr>
        <w:t>七、询问、质疑与投诉</w:t>
      </w:r>
      <w:bookmarkEnd w:id="11"/>
    </w:p>
    <w:p w14:paraId="3EB5FDA9">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14、询问</w:t>
      </w:r>
    </w:p>
    <w:p w14:paraId="75BCBCF3">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14.1潜在投标人或投标人对本次采购活动的有关事项若有疑问，可向</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提出询问，</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将按照政府采购法及实施条例的有关规定进行答复。</w:t>
      </w:r>
    </w:p>
    <w:p w14:paraId="4BE7CC8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15、质疑</w:t>
      </w:r>
    </w:p>
    <w:p w14:paraId="52D459B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34D8A713">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059ADE8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（2）质疑人应按照招标文件第二章规定方式提交质疑函。</w:t>
      </w:r>
    </w:p>
    <w:p w14:paraId="38D584B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（3）质疑函应包括下列主要内容：</w:t>
      </w:r>
    </w:p>
    <w:p w14:paraId="089F448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①质疑人的基本信息，至少包括：全称、地址、邮政编码等；</w:t>
      </w:r>
    </w:p>
    <w:p w14:paraId="7569340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②所质疑项目的基本信息，至少包括：项目编号、项目名称等；</w:t>
      </w:r>
    </w:p>
    <w:p w14:paraId="5CA7B83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③所质疑的具体事项（以下简称：“质疑事项”）；</w:t>
      </w:r>
    </w:p>
    <w:p w14:paraId="0785DF0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④针对质疑事项提出的明确请求，前述明确请求指质疑人提出质疑的目的以及希望</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对其质疑作出的处理结果，如：暂停招标投标活动、修改招标文件、停止或纠正违法违规行为、中标结果无效、废标、重新招标等；</w:t>
      </w:r>
    </w:p>
    <w:p w14:paraId="3B351D3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⑤针对质疑事项导致质疑人自身权益受到损害的必要证明材料，至少包括：</w:t>
      </w:r>
    </w:p>
    <w:p w14:paraId="0E16BA1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a.质疑人代表的身份证明材料：</w:t>
      </w:r>
    </w:p>
    <w:p w14:paraId="7E2C2FC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F75316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a2若本项目接受自然人投标且质疑人为自然人的，提供本人的身份证复印件。</w:t>
      </w:r>
    </w:p>
    <w:p w14:paraId="2D89CBD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b.其他证明材料（即事实依据和必要的法律依据）包括但不限于下列材料：</w:t>
      </w:r>
    </w:p>
    <w:p w14:paraId="3D80919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b1所质疑的具体事项是与自己有利害关系的证明材料；</w:t>
      </w:r>
    </w:p>
    <w:p w14:paraId="304F41F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b2质疑函所述事实存在的证明材料，如：采购文件、采购过程或中标结果违法违规或不符合采购文件要求等证明材料；</w:t>
      </w:r>
    </w:p>
    <w:p w14:paraId="2113706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b3依法应终止采购程序的证明材料；</w:t>
      </w:r>
    </w:p>
    <w:p w14:paraId="2084F5F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b4应重新采购的证明材料；</w:t>
      </w:r>
    </w:p>
    <w:p w14:paraId="0EAFC66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b5采购文件、采购过程或中标、成交结果损害自己合法权益的证明材料等；</w:t>
      </w:r>
    </w:p>
    <w:p w14:paraId="2A0A1EC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A96103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⑥质疑人代表及其联系方法的信息，至少包括：姓名、手机、电子信箱、邮寄地址等。</w:t>
      </w:r>
    </w:p>
    <w:p w14:paraId="4ACBC72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⑦提出质疑的日期。</w:t>
      </w:r>
    </w:p>
    <w:p w14:paraId="528C6AD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※质疑人为法人或其他组织的，质疑函应由单位负责人或委托代理人签字或盖章，并加盖投标人的单位公章。质疑人为自然人的，质疑函应由本人签字。</w:t>
      </w:r>
    </w:p>
    <w:p w14:paraId="3209EBF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15.2对不符合本章第15.1条规定的质疑，将按照下列规定进行处理：</w:t>
      </w:r>
    </w:p>
    <w:p w14:paraId="77CEEF43">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（1）不符合其中第（1）、（2）条规定的，书面告知质疑人不予受理及其理由。</w:t>
      </w:r>
    </w:p>
    <w:p w14:paraId="5579F3C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（2）不符合其中第（3）条规定的，书面告知质疑人修改、补充后在规定时限内重新提交质疑函。</w:t>
      </w:r>
    </w:p>
    <w:p w14:paraId="57FDBA4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15.3对符合本章第15.1条规定的质疑，将按照政府采购法及实施条例、政府采购质疑和投诉办法的有关规定进行答复。</w:t>
      </w:r>
    </w:p>
    <w:p w14:paraId="2BE76A5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15.4招标文件的质疑：详见招标文件第二章。</w:t>
      </w:r>
    </w:p>
    <w:p w14:paraId="106C0FD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16、投诉</w:t>
      </w:r>
    </w:p>
    <w:p w14:paraId="5D194EC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4A05BA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16.2投诉应有明确的请求和必要的证明材料，投诉的事项不得超出已质疑事项的范围。</w:t>
      </w:r>
    </w:p>
    <w:p w14:paraId="13E0C507">
      <w:pPr>
        <w:pStyle w:val="3"/>
        <w:spacing w:beforeLines="100" w:afterLines="100" w:line="240" w:lineRule="auto"/>
        <w:jc w:val="center"/>
        <w:rPr>
          <w:rFonts w:ascii="黑体" w:hAnsi="黑体" w:eastAsia="黑体" w:cs="Times New Roman"/>
          <w:color w:val="auto"/>
          <w:kern w:val="0"/>
          <w:sz w:val="30"/>
          <w:highlight w:val="none"/>
        </w:rPr>
      </w:pPr>
      <w:bookmarkStart w:id="12" w:name="_Toc139103791"/>
      <w:r>
        <w:rPr>
          <w:rFonts w:ascii="黑体" w:hAnsi="黑体" w:eastAsia="黑体" w:cs="Times New Roman"/>
          <w:color w:val="auto"/>
          <w:kern w:val="0"/>
          <w:sz w:val="30"/>
          <w:highlight w:val="none"/>
        </w:rPr>
        <w:t>八、政府采购政策</w:t>
      </w:r>
      <w:bookmarkEnd w:id="12"/>
    </w:p>
    <w:p w14:paraId="64F8F7B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17、政府采购政策由财政部根据国家的经济和社会发展政策并会同国家有关部委制定，包括但不限于下列具体政策要求：</w:t>
      </w:r>
    </w:p>
    <w:p w14:paraId="6E0B34C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17.1进口产品与本国产品相关约定</w:t>
      </w:r>
    </w:p>
    <w:p w14:paraId="79E29A7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17.1.1进口产品指通过中国海关报关验放进入中国境内且产自关境外的产品，其中：</w:t>
      </w:r>
    </w:p>
    <w:p w14:paraId="0D3D6457">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A5B74D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（2）凡在海关特殊监管区域内企业生产或加工（包括从境外进口料件）销往境内其他地区的产品，不作为政府采购项下进口产品。</w:t>
      </w:r>
    </w:p>
    <w:p w14:paraId="67A4A79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（3）对从境外进入海关特殊监管区域，再经办理报关手续后从海关特殊监管区进入境内其他地区的产品，认定为进口产品。</w:t>
      </w:r>
    </w:p>
    <w:p w14:paraId="4FD9963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（4）招标文件列明不允许或未列明允许进口产品参加投标的，均视为拒绝进口产品参加投标。</w:t>
      </w:r>
    </w:p>
    <w:p w14:paraId="0486E72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17.1.2本国产品标准及政策要求</w:t>
      </w:r>
    </w:p>
    <w:p w14:paraId="2C36A5F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40D5E5ED">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E93D14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（3）对本国产品的支持政策 政府采购活动中既有本国产品又有非本国产品参与竞争的，依法对本国产品给予价格评审优惠，对本国产品的报价给予20%的价格扣除，用扣除后的价格参与评审。</w:t>
      </w:r>
    </w:p>
    <w:p w14:paraId="4E978D0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7149C1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CEA085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FB939B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（1）中小企业指符合下列条件的中型、小型、微型企业：</w:t>
      </w:r>
    </w:p>
    <w:p w14:paraId="3EC35B2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F4F6A1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②符合中小企业划分标准的个体工商户，在政府采购活动中视同中小企业。</w:t>
      </w:r>
    </w:p>
    <w:p w14:paraId="56411F4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（2）在政府采购活动中，供应商提供的货物、工程或者服务符合下列情形的，享受本办法规定的中小企业扶持政策：</w:t>
      </w:r>
    </w:p>
    <w:p w14:paraId="338E39D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①在货物采购项目中，货物由中小企业制造，即货物由中小企业生产且使用该中小企业商号或者注册商标；</w:t>
      </w:r>
    </w:p>
    <w:p w14:paraId="4E388C5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②在工程采购项目中，工程由中小企业承建，即工程施工单位为中小企业；</w:t>
      </w:r>
    </w:p>
    <w:p w14:paraId="20029B2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③在服务采购项目中，服务由中小企业承接，即提供服务的人员为中小企业依照《中华人民共和国劳动合同法》订立劳动合同的从业人员。</w:t>
      </w:r>
    </w:p>
    <w:p w14:paraId="76B77E83">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在货物采购项目中，供应商提供的货物既有中小企业制造货物，也有大型企业制造货物的，不享受本办法规定的中小企业扶持政策。</w:t>
      </w:r>
    </w:p>
    <w:p w14:paraId="5E8DF4D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以联合体形式参加政府采购活动，联合体各方均为中小企业的，联合体视同中小企业。其中，联合体各方均为小微企业的，联合体视同小微企业。</w:t>
      </w:r>
    </w:p>
    <w:p w14:paraId="202900C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（3）投标人应当按照招标文件明确的采购标的对应行业的划分标准出具中小企业声明函。</w:t>
      </w:r>
    </w:p>
    <w:p w14:paraId="126AB95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205762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A107ED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①监狱企业参加采购活动时，应提供由省级以上监狱管理局、戒毒管理局（含新疆生产建设兵团）出具的属于监狱企业的证明文件。</w:t>
      </w:r>
    </w:p>
    <w:p w14:paraId="5747488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②监狱企业视同小型、微型企业。</w:t>
      </w:r>
    </w:p>
    <w:p w14:paraId="36481BB9">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（5）残疾人福利性单位指同时符合下列条件的单位：</w:t>
      </w:r>
    </w:p>
    <w:p w14:paraId="0315A9F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①安置的残疾人占本单位在职职工人数的比例不低于25%（含25%），并且安置的残疾人人数不少于10人（含10人）；</w:t>
      </w:r>
    </w:p>
    <w:p w14:paraId="2CFDC34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②依法与安置的每位残疾人签订了一年以上（含一年）的劳动合同或服务协议；</w:t>
      </w:r>
    </w:p>
    <w:p w14:paraId="5CD25FA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③为安置的每位残疾人按月足额缴纳了基本养老保险、基本医疗保险、失业保险、工伤保险和生育保险等社会保险费；</w:t>
      </w:r>
    </w:p>
    <w:p w14:paraId="6DFA0E1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④通过银行等金融机构向安置的每位残疾人，按月支付了不低于单位所在区县适用的经省级人民政府批准的月最低工资标准的工资；</w:t>
      </w:r>
    </w:p>
    <w:p w14:paraId="3215CED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⑤提供本单位制造的货物、承担的工程或服务，或提供其他残疾人福利性单位制造的货物（不包括使用非残疾人福利性单位注册商标的货物）。</w:t>
      </w:r>
    </w:p>
    <w:p w14:paraId="22D6EA6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1E13F6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6DF1DA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17.4信用记录指由财政部确定的有关网站提供的相关主体信用信息。信用记录的查询及使用应符合财政部文件（财库[2016]125号）规定。</w:t>
      </w:r>
    </w:p>
    <w:p w14:paraId="590AB56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17.5为落实政府采购政策需满足的要求：详见招标文件第一章。</w:t>
      </w:r>
    </w:p>
    <w:p w14:paraId="45282BAD">
      <w:pPr>
        <w:pStyle w:val="3"/>
        <w:spacing w:beforeLines="100" w:afterLines="100" w:line="240" w:lineRule="auto"/>
        <w:jc w:val="center"/>
        <w:rPr>
          <w:rFonts w:ascii="黑体" w:hAnsi="黑体" w:eastAsia="黑体" w:cs="Times New Roman"/>
          <w:color w:val="auto"/>
          <w:kern w:val="0"/>
          <w:sz w:val="30"/>
          <w:highlight w:val="none"/>
        </w:rPr>
      </w:pPr>
      <w:bookmarkStart w:id="13" w:name="_Toc139103792"/>
      <w:r>
        <w:rPr>
          <w:rFonts w:ascii="黑体" w:hAnsi="黑体" w:eastAsia="黑体" w:cs="Times New Roman"/>
          <w:color w:val="auto"/>
          <w:kern w:val="0"/>
          <w:sz w:val="30"/>
          <w:highlight w:val="none"/>
        </w:rPr>
        <w:t>九、本项目的有关信息</w:t>
      </w:r>
      <w:bookmarkEnd w:id="13"/>
    </w:p>
    <w:p w14:paraId="5EB3D06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3675B6F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18.1指定媒体：详见招标文件第二章。</w:t>
      </w:r>
    </w:p>
    <w:p w14:paraId="76BB005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18.2本项目的潜在投标人或投标人应随时关注指定媒体，否则产生不利后果由其自行承担。</w:t>
      </w:r>
    </w:p>
    <w:p w14:paraId="6574AA71">
      <w:pPr>
        <w:pStyle w:val="3"/>
        <w:spacing w:beforeLines="100" w:afterLines="100" w:line="240" w:lineRule="auto"/>
        <w:jc w:val="center"/>
        <w:rPr>
          <w:rFonts w:ascii="黑体" w:hAnsi="黑体" w:eastAsia="黑体" w:cs="Times New Roman"/>
          <w:color w:val="auto"/>
          <w:kern w:val="0"/>
          <w:sz w:val="30"/>
          <w:highlight w:val="none"/>
        </w:rPr>
      </w:pPr>
      <w:bookmarkStart w:id="14" w:name="_Toc139103793"/>
      <w:r>
        <w:rPr>
          <w:rFonts w:ascii="黑体" w:hAnsi="黑体" w:eastAsia="黑体" w:cs="Times New Roman"/>
          <w:color w:val="auto"/>
          <w:kern w:val="0"/>
          <w:sz w:val="30"/>
          <w:highlight w:val="none"/>
        </w:rPr>
        <w:t>十、其他事项</w:t>
      </w:r>
      <w:bookmarkEnd w:id="14"/>
    </w:p>
    <w:p w14:paraId="2D53F61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19、其他事项：</w:t>
      </w:r>
    </w:p>
    <w:p w14:paraId="005F58B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14:paraId="3501DC1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19.2其他：详见招标文件第二章。</w:t>
      </w:r>
    </w:p>
    <w:p w14:paraId="0C3C97D5">
      <w:pPr>
        <w:rPr>
          <w:color w:val="auto"/>
          <w:highlight w:val="none"/>
        </w:rPr>
      </w:pPr>
    </w:p>
    <w:p w14:paraId="066F5A77">
      <w:pPr>
        <w:rPr>
          <w:color w:val="auto"/>
          <w:highlight w:val="none"/>
        </w:rPr>
        <w:sectPr>
          <w:pgSz w:w="11906" w:h="16838"/>
          <w:pgMar w:top="1418" w:right="1418" w:bottom="1418" w:left="1418" w:header="851" w:footer="992" w:gutter="0"/>
          <w:cols w:space="425" w:num="1"/>
          <w:docGrid w:type="lines" w:linePitch="312" w:charSpace="0"/>
        </w:sectPr>
      </w:pPr>
    </w:p>
    <w:p w14:paraId="24666070">
      <w:pPr>
        <w:pStyle w:val="2"/>
        <w:keepNext/>
        <w:keepLines/>
        <w:widowControl w:val="0"/>
        <w:spacing w:beforeLines="100" w:beforeAutospacing="0" w:afterLines="100" w:afterAutospacing="0"/>
        <w:jc w:val="center"/>
        <w:rPr>
          <w:rFonts w:ascii="黑体" w:hAnsi="黑体" w:eastAsia="黑体" w:cs="Times New Roman"/>
          <w:color w:val="auto"/>
          <w:kern w:val="0"/>
          <w:sz w:val="32"/>
          <w:szCs w:val="44"/>
          <w:highlight w:val="none"/>
        </w:rPr>
      </w:pPr>
      <w:bookmarkStart w:id="15" w:name="_Toc139103794"/>
      <w:r>
        <w:rPr>
          <w:rFonts w:ascii="黑体" w:hAnsi="黑体" w:eastAsia="黑体" w:cs="Times New Roman"/>
          <w:color w:val="auto"/>
          <w:kern w:val="0"/>
          <w:sz w:val="32"/>
          <w:szCs w:val="44"/>
          <w:highlight w:val="none"/>
        </w:rPr>
        <w:t>第四章</w:t>
      </w:r>
      <w:r>
        <w:rPr>
          <w:rFonts w:hint="eastAsia" w:ascii="黑体" w:hAnsi="黑体" w:eastAsia="黑体" w:cs="Times New Roman"/>
          <w:color w:val="auto"/>
          <w:kern w:val="0"/>
          <w:sz w:val="32"/>
          <w:szCs w:val="44"/>
          <w:highlight w:val="none"/>
        </w:rPr>
        <w:t xml:space="preserve">  </w:t>
      </w:r>
      <w:r>
        <w:rPr>
          <w:rFonts w:ascii="黑体" w:hAnsi="黑体" w:eastAsia="黑体" w:cs="Times New Roman"/>
          <w:color w:val="auto"/>
          <w:kern w:val="0"/>
          <w:sz w:val="32"/>
          <w:szCs w:val="44"/>
          <w:highlight w:val="none"/>
        </w:rPr>
        <w:t>资格审查与评标</w:t>
      </w:r>
      <w:bookmarkEnd w:id="15"/>
    </w:p>
    <w:p w14:paraId="0F94A08E">
      <w:pPr>
        <w:pStyle w:val="3"/>
        <w:spacing w:beforeLines="100" w:afterLines="100" w:line="240" w:lineRule="auto"/>
        <w:jc w:val="center"/>
        <w:rPr>
          <w:rFonts w:ascii="黑体" w:hAnsi="黑体" w:eastAsia="黑体" w:cs="Times New Roman"/>
          <w:color w:val="auto"/>
          <w:kern w:val="0"/>
          <w:sz w:val="30"/>
          <w:highlight w:val="none"/>
        </w:rPr>
      </w:pPr>
      <w:bookmarkStart w:id="16" w:name="_Toc139103795"/>
      <w:r>
        <w:rPr>
          <w:rFonts w:ascii="黑体" w:hAnsi="黑体" w:eastAsia="黑体" w:cs="Times New Roman"/>
          <w:color w:val="auto"/>
          <w:kern w:val="0"/>
          <w:sz w:val="30"/>
          <w:highlight w:val="none"/>
        </w:rPr>
        <w:t>一、资格审查</w:t>
      </w:r>
      <w:bookmarkEnd w:id="16"/>
    </w:p>
    <w:p w14:paraId="00954A8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1、开标结束后，由</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负责资格审查小组的组建及资格审查工作的组织。</w:t>
      </w:r>
    </w:p>
    <w:p w14:paraId="599A457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1.1资格审查小组</w:t>
      </w:r>
    </w:p>
    <w:p w14:paraId="40C11F72">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资格审查小组由3人组成，并负责具体审查事务，其中由采购人派出的采购人代表至少1人，由</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派出的工作人员至少1人，其余1人可为采购人代表或</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的工作人员。</w:t>
      </w:r>
    </w:p>
    <w:p w14:paraId="7814009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1.2资格审查的依据是招标文件和电子投标文件。</w:t>
      </w:r>
    </w:p>
    <w:p w14:paraId="4A0394A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1.3资格审查的范围及内容：电子投标文件（资格及资信证明部分），具体如下：</w:t>
      </w:r>
    </w:p>
    <w:p w14:paraId="31C33D1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（1）“投标函”；</w:t>
      </w:r>
    </w:p>
    <w:p w14:paraId="176E889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（2）“投标人的资格及资信证明文件”</w:t>
      </w:r>
    </w:p>
    <w:p w14:paraId="78215B5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①一般资格证明文件：</w:t>
      </w:r>
    </w:p>
    <w:p w14:paraId="249DC1F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189"/>
        <w:gridCol w:w="6146"/>
      </w:tblGrid>
      <w:tr w14:paraId="3378A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50958145">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2189" w:type="dxa"/>
            <w:vAlign w:val="center"/>
          </w:tcPr>
          <w:p w14:paraId="37E6447D">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资格审查要求概况</w:t>
            </w:r>
          </w:p>
        </w:tc>
        <w:tc>
          <w:tcPr>
            <w:tcW w:w="6146" w:type="dxa"/>
            <w:vAlign w:val="center"/>
          </w:tcPr>
          <w:p w14:paraId="2FBF3456">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评审点具体描述</w:t>
            </w:r>
          </w:p>
        </w:tc>
      </w:tr>
      <w:tr w14:paraId="5D878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489938D9">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2189" w:type="dxa"/>
            <w:vAlign w:val="center"/>
          </w:tcPr>
          <w:p w14:paraId="0C454E49">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单位授权书</w:t>
            </w:r>
          </w:p>
        </w:tc>
        <w:tc>
          <w:tcPr>
            <w:tcW w:w="6146" w:type="dxa"/>
            <w:vAlign w:val="center"/>
          </w:tcPr>
          <w:p w14:paraId="70033F50">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0384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1BDEEC67">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2</w:t>
            </w:r>
          </w:p>
        </w:tc>
        <w:tc>
          <w:tcPr>
            <w:tcW w:w="2189" w:type="dxa"/>
            <w:vAlign w:val="center"/>
          </w:tcPr>
          <w:p w14:paraId="713D91DC">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营业执照等证明文件</w:t>
            </w:r>
          </w:p>
        </w:tc>
        <w:tc>
          <w:tcPr>
            <w:tcW w:w="6146" w:type="dxa"/>
            <w:vAlign w:val="center"/>
          </w:tcPr>
          <w:p w14:paraId="32DB14D8">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3308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37F14FBE">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3</w:t>
            </w:r>
          </w:p>
        </w:tc>
        <w:tc>
          <w:tcPr>
            <w:tcW w:w="2189" w:type="dxa"/>
            <w:vAlign w:val="center"/>
          </w:tcPr>
          <w:p w14:paraId="0EFD16F7">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提供财务状况报告</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财务报告、或资信证明）</w:t>
            </w:r>
          </w:p>
        </w:tc>
        <w:tc>
          <w:tcPr>
            <w:tcW w:w="6146" w:type="dxa"/>
            <w:vAlign w:val="center"/>
          </w:tcPr>
          <w:p w14:paraId="46B3218C">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30F5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63BDA66A">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4</w:t>
            </w:r>
          </w:p>
        </w:tc>
        <w:tc>
          <w:tcPr>
            <w:tcW w:w="2189" w:type="dxa"/>
            <w:vAlign w:val="center"/>
          </w:tcPr>
          <w:p w14:paraId="12C069D4">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依法缴纳税收证明材料</w:t>
            </w:r>
          </w:p>
        </w:tc>
        <w:tc>
          <w:tcPr>
            <w:tcW w:w="6146" w:type="dxa"/>
            <w:vAlign w:val="center"/>
          </w:tcPr>
          <w:p w14:paraId="20DECB68">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B79E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2677CB34">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5</w:t>
            </w:r>
          </w:p>
        </w:tc>
        <w:tc>
          <w:tcPr>
            <w:tcW w:w="2189" w:type="dxa"/>
            <w:vAlign w:val="center"/>
          </w:tcPr>
          <w:p w14:paraId="7AE273A2">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依法缴纳社会保障资金证明材料</w:t>
            </w:r>
          </w:p>
        </w:tc>
        <w:tc>
          <w:tcPr>
            <w:tcW w:w="6146" w:type="dxa"/>
            <w:vAlign w:val="center"/>
          </w:tcPr>
          <w:p w14:paraId="533C694B">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1B17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1C3E58E2">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6</w:t>
            </w:r>
          </w:p>
        </w:tc>
        <w:tc>
          <w:tcPr>
            <w:tcW w:w="2189" w:type="dxa"/>
            <w:vAlign w:val="center"/>
          </w:tcPr>
          <w:p w14:paraId="210083B7">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具备履行合同所必需设备和专业技术能力的声明函</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若有</w:t>
            </w:r>
            <w:r>
              <w:rPr>
                <w:rFonts w:hint="eastAsia" w:asciiTheme="minorEastAsia" w:hAnsiTheme="minorEastAsia"/>
                <w:color w:val="auto"/>
                <w:sz w:val="24"/>
                <w:szCs w:val="24"/>
                <w:highlight w:val="none"/>
              </w:rPr>
              <w:t>）</w:t>
            </w:r>
          </w:p>
        </w:tc>
        <w:tc>
          <w:tcPr>
            <w:tcW w:w="6146" w:type="dxa"/>
            <w:vAlign w:val="center"/>
          </w:tcPr>
          <w:p w14:paraId="01726E45">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6A2F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4F0390CF">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7</w:t>
            </w:r>
          </w:p>
        </w:tc>
        <w:tc>
          <w:tcPr>
            <w:tcW w:w="2189" w:type="dxa"/>
            <w:vAlign w:val="center"/>
          </w:tcPr>
          <w:p w14:paraId="373CC40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参加采购活动前三年内在经营活动中没有重大违法记录的声明</w:t>
            </w:r>
          </w:p>
        </w:tc>
        <w:tc>
          <w:tcPr>
            <w:tcW w:w="6146" w:type="dxa"/>
            <w:vAlign w:val="center"/>
          </w:tcPr>
          <w:p w14:paraId="69C8150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3FB0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1E95E881">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8</w:t>
            </w:r>
          </w:p>
        </w:tc>
        <w:tc>
          <w:tcPr>
            <w:tcW w:w="2189" w:type="dxa"/>
            <w:vAlign w:val="center"/>
          </w:tcPr>
          <w:p w14:paraId="09084286">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信用记录查询结果</w:t>
            </w:r>
          </w:p>
        </w:tc>
        <w:tc>
          <w:tcPr>
            <w:tcW w:w="6146" w:type="dxa"/>
            <w:vAlign w:val="center"/>
          </w:tcPr>
          <w:p w14:paraId="18C23301">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④经查询，投标人参加本项目采购活动（投标截止时间）前三年内被列入失信被执行人名单、重大税收违法失信主体</w:t>
            </w:r>
            <w:r>
              <w:rPr>
                <w:rFonts w:hint="eastAsia" w:asciiTheme="minorEastAsia" w:hAnsiTheme="minorEastAsia"/>
                <w:color w:val="auto"/>
                <w:sz w:val="24"/>
                <w:szCs w:val="24"/>
                <w:highlight w:val="none"/>
              </w:rPr>
              <w:t>名单</w:t>
            </w:r>
            <w:r>
              <w:rPr>
                <w:rFonts w:asciiTheme="minorEastAsia" w:hAnsiTheme="minorEastAsia"/>
                <w:color w:val="auto"/>
                <w:sz w:val="24"/>
                <w:szCs w:val="24"/>
                <w:highlight w:val="none"/>
              </w:rPr>
              <w:t>、政府采购严重违法失信行为记录名单及其他重大违法记录且相关信用惩戒期限未满的，其资格审查不合格。</w:t>
            </w:r>
          </w:p>
        </w:tc>
      </w:tr>
      <w:tr w14:paraId="31FFF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6CAC2B06">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9</w:t>
            </w:r>
          </w:p>
        </w:tc>
        <w:tc>
          <w:tcPr>
            <w:tcW w:w="2189" w:type="dxa"/>
            <w:vAlign w:val="center"/>
          </w:tcPr>
          <w:p w14:paraId="6947586A">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中小企业声明函（以资格条件落实中小企业扶持政策时适用）</w:t>
            </w:r>
          </w:p>
        </w:tc>
        <w:tc>
          <w:tcPr>
            <w:tcW w:w="6146" w:type="dxa"/>
            <w:vAlign w:val="center"/>
          </w:tcPr>
          <w:p w14:paraId="3CE9013B">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DDC7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center"/>
          </w:tcPr>
          <w:p w14:paraId="5F49BC19">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10</w:t>
            </w:r>
          </w:p>
        </w:tc>
        <w:tc>
          <w:tcPr>
            <w:tcW w:w="2189" w:type="dxa"/>
            <w:vAlign w:val="center"/>
          </w:tcPr>
          <w:p w14:paraId="03ED00D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联合体协议（若有）</w:t>
            </w:r>
          </w:p>
        </w:tc>
        <w:tc>
          <w:tcPr>
            <w:tcW w:w="6146" w:type="dxa"/>
            <w:vAlign w:val="center"/>
          </w:tcPr>
          <w:p w14:paraId="3ECF34E5">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①招标文件接受联合体投标且投标人为联合体的，投标人应提供本协议；否则无须提供。</w:t>
            </w:r>
          </w:p>
          <w:p w14:paraId="21B0BC3C">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②本协议由委托代理人签字或盖章的，应按照招标文件第七章载明的格式提供“单位授权书”。</w:t>
            </w:r>
          </w:p>
        </w:tc>
      </w:tr>
    </w:tbl>
    <w:p w14:paraId="07AACF1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※备注说明</w:t>
      </w:r>
    </w:p>
    <w:p w14:paraId="5546424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①投标人应根据自身实际情况提供上述资格要求的证明材料，格式可参考招标文件第七章提供。</w:t>
      </w:r>
    </w:p>
    <w:p w14:paraId="2A40B05C">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②投标人提供的相应证明材料复印件均应符合：内容完整、清晰、整洁，并由投标人加盖其单位公章。</w:t>
      </w:r>
    </w:p>
    <w:p w14:paraId="1D55494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③根据招标文件第四章第一点资格审查的1.3“④其他资格证明文件”要求，允许供应商采用资格承诺制的并提供符合要求的资格承诺函，视为满足招标文件的资格要求。</w:t>
      </w:r>
    </w:p>
    <w:p w14:paraId="1225999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④.其他资格证明文件：</w:t>
      </w:r>
    </w:p>
    <w:p w14:paraId="6A7E8C28">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w:t>
      </w:r>
    </w:p>
    <w:tbl>
      <w:tblPr>
        <w:tblStyle w:val="17"/>
        <w:tblW w:w="923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5545"/>
      </w:tblGrid>
      <w:tr w14:paraId="164C9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vAlign w:val="center"/>
          </w:tcPr>
          <w:p w14:paraId="3BF5FAB7">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资格审查要求概况</w:t>
            </w:r>
          </w:p>
        </w:tc>
        <w:tc>
          <w:tcPr>
            <w:tcW w:w="5545" w:type="dxa"/>
            <w:vAlign w:val="center"/>
          </w:tcPr>
          <w:p w14:paraId="2E496EF2">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评审点具体描述</w:t>
            </w:r>
          </w:p>
        </w:tc>
      </w:tr>
      <w:tr w14:paraId="106B7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vAlign w:val="top"/>
          </w:tcPr>
          <w:p w14:paraId="62864211">
            <w:pPr>
              <w:spacing w:line="360" w:lineRule="auto"/>
              <w:jc w:val="left"/>
              <w:rPr>
                <w:rFonts w:asciiTheme="minorEastAsia" w:hAnsiTheme="minorEastAsia"/>
                <w:color w:val="auto"/>
                <w:sz w:val="24"/>
                <w:szCs w:val="24"/>
                <w:highlight w:val="none"/>
              </w:rPr>
            </w:pPr>
            <w:r>
              <w:rPr>
                <w:rFonts w:asciiTheme="minorEastAsia" w:hAnsiTheme="minorEastAsia"/>
                <w:color w:val="auto"/>
                <w:sz w:val="24"/>
                <w:szCs w:val="24"/>
                <w:highlight w:val="none"/>
              </w:rPr>
              <w:t>信用记录要求（招标文件其他地方要求与本条款要求不一致的，以本条款要求为准）</w:t>
            </w:r>
          </w:p>
        </w:tc>
        <w:tc>
          <w:tcPr>
            <w:tcW w:w="5545" w:type="dxa"/>
            <w:vAlign w:val="top"/>
          </w:tcPr>
          <w:p w14:paraId="793D6F08">
            <w:pPr>
              <w:spacing w:line="360" w:lineRule="auto"/>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1、信用信息查询渠道：通过“信用中国”网站（www.creditchina.gov.cn）、中国政府采购网（www.ccgp.gov.cn）、“信用厦门”网站（credit.xm.gov.cn）查询所有供应商的信用信息。 </w:t>
            </w:r>
          </w:p>
          <w:p w14:paraId="380369A0">
            <w:pPr>
              <w:spacing w:line="360" w:lineRule="auto"/>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2、截止时点：查询供应商截止开标当天前三年内的信用信息。</w:t>
            </w:r>
          </w:p>
          <w:p w14:paraId="61E71038">
            <w:pPr>
              <w:spacing w:line="360" w:lineRule="auto"/>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3、查询记录和证据留存方式：将查询结果网页打印后随采购文件一并存档。 </w:t>
            </w:r>
          </w:p>
          <w:p w14:paraId="3B0064B7">
            <w:pPr>
              <w:spacing w:line="360" w:lineRule="auto"/>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信用信息的使用规则：（1）查询结果显示供应商存在不良信用记录（包含列入失信被执行人、重大税收违法失信主体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w:t>
            </w:r>
          </w:p>
          <w:p w14:paraId="0B886DDE">
            <w:pPr>
              <w:spacing w:line="360" w:lineRule="auto"/>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5、供应商无需提供信用信息查询结果。若供应商自行提供查询结果的，仍以评标当天查询结果为准。</w:t>
            </w:r>
          </w:p>
        </w:tc>
      </w:tr>
      <w:tr w14:paraId="60311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vAlign w:val="top"/>
          </w:tcPr>
          <w:p w14:paraId="290C5F47">
            <w:pPr>
              <w:spacing w:line="360" w:lineRule="auto"/>
              <w:jc w:val="left"/>
              <w:rPr>
                <w:rFonts w:hint="eastAsia" w:asciiTheme="minorEastAsia" w:hAnsiTheme="minorEastAsia"/>
                <w:color w:val="auto"/>
                <w:sz w:val="24"/>
                <w:szCs w:val="24"/>
                <w:highlight w:val="none"/>
              </w:rPr>
            </w:pPr>
            <w:r>
              <w:rPr>
                <w:rFonts w:asciiTheme="minorEastAsia" w:hAnsiTheme="minorEastAsia"/>
                <w:color w:val="auto"/>
                <w:sz w:val="24"/>
                <w:szCs w:val="24"/>
                <w:highlight w:val="none"/>
              </w:rPr>
              <w:t>资格承诺函</w:t>
            </w:r>
          </w:p>
        </w:tc>
        <w:tc>
          <w:tcPr>
            <w:tcW w:w="5545" w:type="dxa"/>
            <w:vAlign w:val="top"/>
          </w:tcPr>
          <w:p w14:paraId="11A9E315">
            <w:pPr>
              <w:spacing w:line="360" w:lineRule="auto"/>
              <w:jc w:val="left"/>
              <w:rPr>
                <w:rFonts w:hint="eastAsia" w:asciiTheme="minorEastAsia" w:hAnsiTheme="minorEastAsia"/>
                <w:color w:val="auto"/>
                <w:sz w:val="24"/>
                <w:szCs w:val="24"/>
                <w:highlight w:val="none"/>
              </w:rPr>
            </w:pPr>
            <w:r>
              <w:rPr>
                <w:rFonts w:hint="eastAsia" w:ascii="宋体" w:hAnsi="宋体" w:cs="宋体"/>
                <w:color w:val="auto"/>
                <w:kern w:val="0"/>
                <w:sz w:val="24"/>
                <w:szCs w:val="20"/>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C068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vAlign w:val="top"/>
          </w:tcPr>
          <w:p w14:paraId="2D2D4A38">
            <w:pPr>
              <w:spacing w:line="360" w:lineRule="auto"/>
              <w:jc w:val="left"/>
              <w:rPr>
                <w:rFonts w:hint="eastAsia" w:asciiTheme="minorEastAsia" w:hAnsiTheme="minorEastAsia"/>
                <w:color w:val="auto"/>
                <w:sz w:val="24"/>
                <w:szCs w:val="24"/>
                <w:highlight w:val="none"/>
              </w:rPr>
            </w:pPr>
            <w:r>
              <w:rPr>
                <w:rFonts w:asciiTheme="minorEastAsia" w:hAnsiTheme="minorEastAsia"/>
                <w:color w:val="auto"/>
                <w:sz w:val="24"/>
                <w:szCs w:val="24"/>
                <w:highlight w:val="none"/>
              </w:rPr>
              <w:t>关于“财务状况报告”的补充说明</w:t>
            </w:r>
          </w:p>
        </w:tc>
        <w:tc>
          <w:tcPr>
            <w:tcW w:w="5545" w:type="dxa"/>
            <w:vAlign w:val="top"/>
          </w:tcPr>
          <w:p w14:paraId="17CA49A5">
            <w:pPr>
              <w:spacing w:line="360" w:lineRule="auto"/>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投标截止时间在1月1日至6月30日的，投标人提供上上年度（指上一年度的上一年度）经审计的财务报告视同满足经审计的上一年度的年度财务报告的要求。</w:t>
            </w:r>
          </w:p>
        </w:tc>
      </w:tr>
      <w:tr w14:paraId="2FED0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vAlign w:val="top"/>
          </w:tcPr>
          <w:p w14:paraId="6B73BA78">
            <w:pPr>
              <w:spacing w:line="360" w:lineRule="auto"/>
              <w:jc w:val="left"/>
              <w:rPr>
                <w:rFonts w:hint="eastAsia" w:asciiTheme="minorEastAsia" w:hAnsiTheme="minorEastAsia"/>
                <w:color w:val="auto"/>
                <w:sz w:val="24"/>
                <w:szCs w:val="24"/>
                <w:highlight w:val="none"/>
              </w:rPr>
            </w:pPr>
            <w:r>
              <w:rPr>
                <w:rFonts w:asciiTheme="minorEastAsia" w:hAnsiTheme="minorEastAsia"/>
                <w:color w:val="auto"/>
                <w:sz w:val="24"/>
                <w:szCs w:val="24"/>
                <w:highlight w:val="none"/>
              </w:rPr>
              <w:t>采购人根据采购项目的要求规定的特定条件1</w:t>
            </w:r>
          </w:p>
        </w:tc>
        <w:tc>
          <w:tcPr>
            <w:tcW w:w="5545" w:type="dxa"/>
            <w:vAlign w:val="top"/>
          </w:tcPr>
          <w:p w14:paraId="7B400F44">
            <w:pPr>
              <w:spacing w:line="360" w:lineRule="auto"/>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对投标人的要求：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p>
        </w:tc>
      </w:tr>
      <w:tr w14:paraId="5089C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692" w:type="dxa"/>
            <w:vAlign w:val="top"/>
          </w:tcPr>
          <w:p w14:paraId="333C2220">
            <w:pPr>
              <w:spacing w:line="360" w:lineRule="auto"/>
              <w:jc w:val="left"/>
              <w:rPr>
                <w:rFonts w:hint="eastAsia" w:asciiTheme="minorEastAsia" w:hAnsiTheme="minorEastAsia"/>
                <w:color w:val="auto"/>
                <w:sz w:val="24"/>
                <w:szCs w:val="24"/>
                <w:highlight w:val="none"/>
              </w:rPr>
            </w:pPr>
            <w:r>
              <w:rPr>
                <w:rFonts w:asciiTheme="minorEastAsia" w:hAnsiTheme="minorEastAsia"/>
                <w:color w:val="auto"/>
                <w:sz w:val="24"/>
                <w:szCs w:val="24"/>
                <w:highlight w:val="none"/>
              </w:rPr>
              <w:t>采购人根据采购项目的要求规定的特定条件2</w:t>
            </w:r>
          </w:p>
        </w:tc>
        <w:tc>
          <w:tcPr>
            <w:tcW w:w="5545" w:type="dxa"/>
            <w:vAlign w:val="top"/>
          </w:tcPr>
          <w:p w14:paraId="58FCFD33">
            <w:pPr>
              <w:spacing w:line="360" w:lineRule="auto"/>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未体现投标产品型号规格的，则应同时提供附页扫描件)。投标人所投配置清单设备中，产品属于医疗器械，须按照1、2点要求提供相关材料。</w:t>
            </w:r>
          </w:p>
        </w:tc>
      </w:tr>
    </w:tbl>
    <w:p w14:paraId="3912677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（3）投标保证金。</w:t>
      </w:r>
    </w:p>
    <w:p w14:paraId="621FC1E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1.4有下列情形之一的，资格审查不合格：</w:t>
      </w:r>
    </w:p>
    <w:tbl>
      <w:tblPr>
        <w:tblStyle w:val="17"/>
        <w:tblW w:w="922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7"/>
      </w:tblGrid>
      <w:tr w14:paraId="55F3C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7" w:type="dxa"/>
          </w:tcPr>
          <w:p w14:paraId="07C3459D">
            <w:pPr>
              <w:spacing w:line="360" w:lineRule="auto"/>
              <w:jc w:val="center"/>
              <w:rPr>
                <w:color w:val="auto"/>
                <w:sz w:val="24"/>
                <w:szCs w:val="24"/>
                <w:highlight w:val="none"/>
              </w:rPr>
            </w:pPr>
            <w:r>
              <w:rPr>
                <w:color w:val="auto"/>
                <w:sz w:val="24"/>
                <w:szCs w:val="24"/>
                <w:highlight w:val="none"/>
              </w:rPr>
              <w:t>明细</w:t>
            </w:r>
          </w:p>
        </w:tc>
      </w:tr>
      <w:tr w14:paraId="0AD1D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7" w:type="dxa"/>
          </w:tcPr>
          <w:p w14:paraId="31E65A21">
            <w:pPr>
              <w:spacing w:line="360" w:lineRule="auto"/>
              <w:rPr>
                <w:color w:val="auto"/>
                <w:sz w:val="24"/>
                <w:szCs w:val="24"/>
                <w:highlight w:val="none"/>
              </w:rPr>
            </w:pPr>
            <w:r>
              <w:rPr>
                <w:color w:val="auto"/>
                <w:sz w:val="24"/>
                <w:szCs w:val="24"/>
                <w:highlight w:val="none"/>
              </w:rPr>
              <w:t>未按照招标文件规定提交投标函</w:t>
            </w:r>
          </w:p>
        </w:tc>
      </w:tr>
      <w:tr w14:paraId="72337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7" w:type="dxa"/>
          </w:tcPr>
          <w:p w14:paraId="14ED5A3B">
            <w:pPr>
              <w:spacing w:line="360" w:lineRule="auto"/>
              <w:rPr>
                <w:color w:val="auto"/>
                <w:sz w:val="24"/>
                <w:szCs w:val="24"/>
                <w:highlight w:val="none"/>
              </w:rPr>
            </w:pPr>
            <w:r>
              <w:rPr>
                <w:color w:val="auto"/>
                <w:sz w:val="24"/>
                <w:szCs w:val="24"/>
                <w:highlight w:val="none"/>
              </w:rPr>
              <w:t>未按照招标文件规定提交投标人的资格及资信文件</w:t>
            </w:r>
          </w:p>
        </w:tc>
      </w:tr>
      <w:tr w14:paraId="5BECF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27" w:type="dxa"/>
          </w:tcPr>
          <w:p w14:paraId="5DBBF31D">
            <w:pPr>
              <w:spacing w:line="360" w:lineRule="auto"/>
              <w:rPr>
                <w:color w:val="auto"/>
                <w:sz w:val="24"/>
                <w:szCs w:val="24"/>
                <w:highlight w:val="none"/>
              </w:rPr>
            </w:pPr>
            <w:r>
              <w:rPr>
                <w:color w:val="auto"/>
                <w:sz w:val="24"/>
                <w:szCs w:val="24"/>
                <w:highlight w:val="none"/>
              </w:rPr>
              <w:t>未按照招标文件规定提交投标保证金</w:t>
            </w:r>
          </w:p>
        </w:tc>
      </w:tr>
    </w:tbl>
    <w:p w14:paraId="3339764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w:t>
      </w:r>
    </w:p>
    <w:p w14:paraId="373A94C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资格审查不合格项：无</w:t>
      </w:r>
    </w:p>
    <w:p w14:paraId="707B022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FB2DE19">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2、资格审查情况不得私自外泄，有关信息由</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统一对外发布。</w:t>
      </w:r>
    </w:p>
    <w:p w14:paraId="232F31B3">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3、资格审查合格的投标人不足三家的，不进行评标。同时，本次采购活动结束，</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将依法组织后续采购活动（包括但不限于：重新招标、采用其他方式采购等）。</w:t>
      </w:r>
    </w:p>
    <w:p w14:paraId="31F6513E">
      <w:pPr>
        <w:pStyle w:val="3"/>
        <w:spacing w:beforeLines="100" w:afterLines="100" w:line="240" w:lineRule="auto"/>
        <w:jc w:val="center"/>
        <w:rPr>
          <w:rFonts w:ascii="黑体" w:hAnsi="黑体" w:eastAsia="黑体" w:cs="Times New Roman"/>
          <w:color w:val="auto"/>
          <w:kern w:val="0"/>
          <w:sz w:val="30"/>
          <w:highlight w:val="none"/>
        </w:rPr>
      </w:pPr>
      <w:bookmarkStart w:id="17" w:name="_Toc139103796"/>
      <w:r>
        <w:rPr>
          <w:rFonts w:ascii="黑体" w:hAnsi="黑体" w:eastAsia="黑体" w:cs="Times New Roman"/>
          <w:color w:val="auto"/>
          <w:kern w:val="0"/>
          <w:sz w:val="30"/>
          <w:highlight w:val="none"/>
        </w:rPr>
        <w:t>二、评标</w:t>
      </w:r>
      <w:bookmarkEnd w:id="17"/>
    </w:p>
    <w:p w14:paraId="00B3CC8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4、资格审查结束后，由</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负责评标委员会的组建及评标工作的组织。</w:t>
      </w:r>
    </w:p>
    <w:p w14:paraId="45F3989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5、评标委员会</w:t>
      </w:r>
    </w:p>
    <w:p w14:paraId="688272F2">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由采购人代表和评审专家两部分共5人组成，其中由福建省政府采购评审专家库产生的评审专家4人，由采购人派出的采购人代表1人。</w:t>
      </w:r>
    </w:p>
    <w:p w14:paraId="19B18043">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5.2评标委员会负责具体评标事务，并按照下列原则依法独立履行有关职责：</w:t>
      </w:r>
    </w:p>
    <w:p w14:paraId="1C23FA4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（1）评标应保护国家利益、社会公共利益和各方当事人合法权益，提高采购效益，保证项目质量。</w:t>
      </w:r>
    </w:p>
    <w:p w14:paraId="490909B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（2）评标应遵循公平、公正、科学、严谨和择优原则。</w:t>
      </w:r>
    </w:p>
    <w:p w14:paraId="6F2CE2F9">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（3）评标的依据是招标文件和电子投标文件。</w:t>
      </w:r>
    </w:p>
    <w:p w14:paraId="69A21BF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（4）应按照招标文件规定推荐中标候选人或确定中标人。</w:t>
      </w:r>
    </w:p>
    <w:p w14:paraId="0A35480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（5）评标应遵守下列评标纪律：</w:t>
      </w:r>
    </w:p>
    <w:p w14:paraId="70B3B60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①评标情况不得私自外泄，有关信息由</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统一对外发布。</w:t>
      </w:r>
    </w:p>
    <w:p w14:paraId="5BB7ABC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②对</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或投标人提供的要求保密的资料，不得摘记翻印和外传。</w:t>
      </w:r>
    </w:p>
    <w:p w14:paraId="2883528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③不得收受投标人或有关人员的任何礼物，不得串联鼓动其他人袒护某投标人。若与投标人存在利害关系，则应主动声明并回避。</w:t>
      </w:r>
    </w:p>
    <w:p w14:paraId="02F0B90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④全体评委应按照招标文件规定进行评标，一切认定事项应查有实据且不得弄虚作假。</w:t>
      </w:r>
    </w:p>
    <w:p w14:paraId="1355A34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⑤评标中应充分发扬民主，推荐中标候选人或确定中标人后要服从评标报告。</w:t>
      </w:r>
    </w:p>
    <w:p w14:paraId="50E1FDD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※对违反评标纪律的评委，将取消其评委资格，对评标工作造成严重损失者将予以通报批评乃至追究法律责任。</w:t>
      </w:r>
    </w:p>
    <w:p w14:paraId="3763B1D9">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6、评标程序</w:t>
      </w:r>
    </w:p>
    <w:p w14:paraId="5DB8E7A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6.1评标前的准备工作</w:t>
      </w:r>
    </w:p>
    <w:p w14:paraId="4F51DC7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（1）全体评委应认真审阅招标文件，了解评委应履行或遵守的职责、义务和评标纪律。</w:t>
      </w:r>
    </w:p>
    <w:p w14:paraId="647E04F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694BC33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6.2符合性审查</w:t>
      </w:r>
    </w:p>
    <w:p w14:paraId="179E827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（1）评标委员会依据招标文件的实质性要求，对通过资格审查的电子投标文件进行符合性审查，以确定其是否满足招标文件的实质性要求。</w:t>
      </w:r>
    </w:p>
    <w:p w14:paraId="43F49A6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（2）满足招标文件的实质性要求指电子投标文件对招标文件实质性要求的响应不存在重大偏差或保留。</w:t>
      </w:r>
    </w:p>
    <w:p w14:paraId="311A194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1A38A0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57BB8C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（5）评标委员会对所有投标人都执行相同的程序和标准。</w:t>
      </w:r>
    </w:p>
    <w:p w14:paraId="332B0EB9">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（6）有下列情形之一的，符合性审查不合格：</w:t>
      </w:r>
    </w:p>
    <w:p w14:paraId="25EA69E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①项目一般情形：</w:t>
      </w:r>
    </w:p>
    <w:p w14:paraId="67B558F3">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9"/>
        <w:gridCol w:w="2282"/>
        <w:gridCol w:w="5903"/>
      </w:tblGrid>
      <w:tr w14:paraId="707C3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08B2BFE8">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2282" w:type="dxa"/>
            <w:vAlign w:val="center"/>
          </w:tcPr>
          <w:p w14:paraId="4522CE88">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符合审查要求概况</w:t>
            </w:r>
          </w:p>
        </w:tc>
        <w:tc>
          <w:tcPr>
            <w:tcW w:w="5903" w:type="dxa"/>
            <w:vAlign w:val="center"/>
          </w:tcPr>
          <w:p w14:paraId="2B909463">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评审点具体描述</w:t>
            </w:r>
          </w:p>
        </w:tc>
      </w:tr>
      <w:tr w14:paraId="5148C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58D4DC95">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2282" w:type="dxa"/>
            <w:vAlign w:val="center"/>
          </w:tcPr>
          <w:p w14:paraId="0599AE71">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情形1</w:t>
            </w:r>
          </w:p>
        </w:tc>
        <w:tc>
          <w:tcPr>
            <w:tcW w:w="5903" w:type="dxa"/>
            <w:vAlign w:val="center"/>
          </w:tcPr>
          <w:p w14:paraId="5AECFEDB">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违反招标文件中载明“投标无效”条款的规定；</w:t>
            </w:r>
          </w:p>
        </w:tc>
      </w:tr>
      <w:tr w14:paraId="490D1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41C9F008">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2</w:t>
            </w:r>
          </w:p>
        </w:tc>
        <w:tc>
          <w:tcPr>
            <w:tcW w:w="2282" w:type="dxa"/>
            <w:vAlign w:val="center"/>
          </w:tcPr>
          <w:p w14:paraId="5F21F55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情形2</w:t>
            </w:r>
          </w:p>
        </w:tc>
        <w:tc>
          <w:tcPr>
            <w:tcW w:w="5903" w:type="dxa"/>
            <w:vAlign w:val="center"/>
          </w:tcPr>
          <w:p w14:paraId="61231449">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属于招标文件第三章第10.12条规定的投标无效情形；</w:t>
            </w:r>
          </w:p>
        </w:tc>
      </w:tr>
      <w:tr w14:paraId="6AD4A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636E1FBA">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3</w:t>
            </w:r>
          </w:p>
        </w:tc>
        <w:tc>
          <w:tcPr>
            <w:tcW w:w="2282" w:type="dxa"/>
            <w:vAlign w:val="center"/>
          </w:tcPr>
          <w:p w14:paraId="614812EC">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情形3</w:t>
            </w:r>
          </w:p>
        </w:tc>
        <w:tc>
          <w:tcPr>
            <w:tcW w:w="5903" w:type="dxa"/>
            <w:vAlign w:val="center"/>
          </w:tcPr>
          <w:p w14:paraId="2E69167D">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投标文件对招标文件实质性要求的响应存在重大偏离或保留。</w:t>
            </w:r>
          </w:p>
        </w:tc>
      </w:tr>
      <w:tr w14:paraId="78712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0469C71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w:t>
            </w:r>
          </w:p>
        </w:tc>
        <w:tc>
          <w:tcPr>
            <w:tcW w:w="2282" w:type="dxa"/>
            <w:vAlign w:val="center"/>
          </w:tcPr>
          <w:p w14:paraId="74C92484">
            <w:pPr>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rPr>
              <w:t>带★号条款</w:t>
            </w:r>
            <w:r>
              <w:rPr>
                <w:rFonts w:hint="eastAsia" w:asciiTheme="minorEastAsia" w:hAnsiTheme="minorEastAsia"/>
                <w:color w:val="auto"/>
                <w:sz w:val="24"/>
                <w:szCs w:val="24"/>
                <w:highlight w:val="none"/>
                <w:lang w:val="en-US" w:eastAsia="zh-CN"/>
              </w:rPr>
              <w:t>1</w:t>
            </w:r>
          </w:p>
        </w:tc>
        <w:tc>
          <w:tcPr>
            <w:tcW w:w="5903" w:type="dxa"/>
            <w:vAlign w:val="center"/>
          </w:tcPr>
          <w:p w14:paraId="7D384182">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不符合或不满足：</w:t>
            </w: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rPr>
              <w:t>.1.1★质谱仪为桌面台式机，基于基质辅助激光解析电离飞行时间质谱（MALDI-TOF MS）技术进行基因检测。通过检测碱基质量的差别，对基因进行直接分析分型，支持同时分析检测两个及以上已知单核苷酸多态性（SNP）基因，支持检测三等位基因或四等位基因SNP，支持检测体细胞突变、碱基插入或者缺失等。</w:t>
            </w:r>
          </w:p>
        </w:tc>
      </w:tr>
      <w:tr w14:paraId="553D7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1BC7C406">
            <w:pPr>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5</w:t>
            </w:r>
          </w:p>
        </w:tc>
        <w:tc>
          <w:tcPr>
            <w:tcW w:w="2282" w:type="dxa"/>
            <w:vAlign w:val="center"/>
          </w:tcPr>
          <w:p w14:paraId="2ABF7A84">
            <w:pPr>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rPr>
              <w:t>带★号条款</w:t>
            </w:r>
            <w:r>
              <w:rPr>
                <w:rFonts w:hint="eastAsia" w:asciiTheme="minorEastAsia" w:hAnsiTheme="minorEastAsia"/>
                <w:color w:val="auto"/>
                <w:sz w:val="24"/>
                <w:szCs w:val="24"/>
                <w:highlight w:val="none"/>
                <w:lang w:val="en-US" w:eastAsia="zh-CN"/>
              </w:rPr>
              <w:t>2</w:t>
            </w:r>
          </w:p>
        </w:tc>
        <w:tc>
          <w:tcPr>
            <w:tcW w:w="5903" w:type="dxa"/>
            <w:vAlign w:val="center"/>
          </w:tcPr>
          <w:p w14:paraId="6CBE492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不符合或不满足：</w:t>
            </w: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rPr>
              <w:t>.1.6★检测器为微通道板（MCP）电子倍增器（非打拿极）,检测和分析96个样本时间≤40min。</w:t>
            </w:r>
          </w:p>
        </w:tc>
      </w:tr>
      <w:tr w14:paraId="664D5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35BBBDDD">
            <w:pPr>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6</w:t>
            </w:r>
          </w:p>
        </w:tc>
        <w:tc>
          <w:tcPr>
            <w:tcW w:w="2282" w:type="dxa"/>
            <w:vAlign w:val="center"/>
          </w:tcPr>
          <w:p w14:paraId="2F5FC7E3">
            <w:pPr>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rPr>
              <w:t>带★号条款</w:t>
            </w:r>
            <w:r>
              <w:rPr>
                <w:rFonts w:hint="eastAsia" w:asciiTheme="minorEastAsia" w:hAnsiTheme="minorEastAsia"/>
                <w:color w:val="auto"/>
                <w:sz w:val="24"/>
                <w:szCs w:val="24"/>
                <w:highlight w:val="none"/>
                <w:lang w:val="en-US" w:eastAsia="zh-CN"/>
              </w:rPr>
              <w:t>3</w:t>
            </w:r>
          </w:p>
        </w:tc>
        <w:tc>
          <w:tcPr>
            <w:tcW w:w="5903" w:type="dxa"/>
            <w:vAlign w:val="center"/>
          </w:tcPr>
          <w:p w14:paraId="2AF425B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不符合或不满足：</w:t>
            </w: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rPr>
              <w:t>.1.8★分体式靶面和靶托，靶板厚度0.65-0.75mm之间（图片佐证），不锈钢靶板可重复使用（2000次及以上）。</w:t>
            </w:r>
          </w:p>
        </w:tc>
      </w:tr>
      <w:tr w14:paraId="1808D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3D76E510">
            <w:pPr>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7</w:t>
            </w:r>
          </w:p>
        </w:tc>
        <w:tc>
          <w:tcPr>
            <w:tcW w:w="2282" w:type="dxa"/>
            <w:vAlign w:val="center"/>
          </w:tcPr>
          <w:p w14:paraId="58CCAB6A">
            <w:pPr>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rPr>
              <w:t>带★号条款</w:t>
            </w:r>
            <w:r>
              <w:rPr>
                <w:rFonts w:hint="eastAsia" w:asciiTheme="minorEastAsia" w:hAnsiTheme="minorEastAsia"/>
                <w:color w:val="auto"/>
                <w:sz w:val="24"/>
                <w:szCs w:val="24"/>
                <w:highlight w:val="none"/>
                <w:lang w:val="en-US" w:eastAsia="zh-CN"/>
              </w:rPr>
              <w:t>4</w:t>
            </w:r>
          </w:p>
        </w:tc>
        <w:tc>
          <w:tcPr>
            <w:tcW w:w="5903" w:type="dxa"/>
            <w:vAlign w:val="center"/>
          </w:tcPr>
          <w:p w14:paraId="4739CE23">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不符合或不满足：</w:t>
            </w:r>
            <w:r>
              <w:rPr>
                <w:rFonts w:hint="eastAsia" w:asciiTheme="minorEastAsia" w:hAnsiTheme="minorEastAsia"/>
                <w:color w:val="auto"/>
                <w:sz w:val="24"/>
                <w:szCs w:val="24"/>
                <w:highlight w:val="none"/>
                <w:lang w:val="en-US" w:eastAsia="zh-CN"/>
              </w:rPr>
              <w:t>2</w:t>
            </w:r>
            <w:r>
              <w:rPr>
                <w:rFonts w:hint="eastAsia" w:asciiTheme="minorEastAsia" w:hAnsiTheme="minorEastAsia"/>
                <w:color w:val="auto"/>
                <w:sz w:val="24"/>
                <w:szCs w:val="24"/>
                <w:highlight w:val="none"/>
              </w:rPr>
              <w:t>.1.28★单台设备配置清单 (具体内容详见招标文件第五章）</w:t>
            </w:r>
          </w:p>
        </w:tc>
      </w:tr>
      <w:tr w14:paraId="07DA9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0E90E089">
            <w:pPr>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8</w:t>
            </w:r>
          </w:p>
        </w:tc>
        <w:tc>
          <w:tcPr>
            <w:tcW w:w="2282" w:type="dxa"/>
            <w:vAlign w:val="center"/>
          </w:tcPr>
          <w:p w14:paraId="21818367">
            <w:pPr>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rPr>
              <w:t>带★号条款</w:t>
            </w:r>
            <w:r>
              <w:rPr>
                <w:rFonts w:hint="eastAsia" w:asciiTheme="minorEastAsia" w:hAnsiTheme="minorEastAsia"/>
                <w:color w:val="auto"/>
                <w:sz w:val="24"/>
                <w:szCs w:val="24"/>
                <w:highlight w:val="none"/>
                <w:lang w:val="en-US" w:eastAsia="zh-CN"/>
              </w:rPr>
              <w:t>5</w:t>
            </w:r>
          </w:p>
        </w:tc>
        <w:tc>
          <w:tcPr>
            <w:tcW w:w="5903" w:type="dxa"/>
            <w:vAlign w:val="center"/>
          </w:tcPr>
          <w:p w14:paraId="0A6A7E82">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不符合或不满足：★9.3保修期：本项目自验收合格之日起至少提供3年原厂保修。机器到货时间应在出厂日期180天以内。保修期间中标人应提供一切维修服务和更换零配件。设备保修期内，中标人需提供来自原厂每年至少2次的设备技术安全巡检保养并提供年度巡检保养报告给分签医院存档。并每年出具一份正式校准报告。以上保修期内所需的费用均包含在投标总价中，分签医院不再另行付费。对以上要求投标人需提供承诺函，否则投标无效。</w:t>
            </w:r>
          </w:p>
        </w:tc>
      </w:tr>
      <w:tr w14:paraId="6CAE0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6EBED4A2">
            <w:pPr>
              <w:spacing w:line="360" w:lineRule="auto"/>
              <w:jc w:val="center"/>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9</w:t>
            </w:r>
          </w:p>
        </w:tc>
        <w:tc>
          <w:tcPr>
            <w:tcW w:w="2282" w:type="dxa"/>
            <w:vAlign w:val="center"/>
          </w:tcPr>
          <w:p w14:paraId="5662D7F3">
            <w:pPr>
              <w:spacing w:line="360" w:lineRule="auto"/>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rPr>
              <w:t>带★号条款</w:t>
            </w:r>
            <w:r>
              <w:rPr>
                <w:rFonts w:hint="eastAsia" w:asciiTheme="minorEastAsia" w:hAnsiTheme="minorEastAsia"/>
                <w:color w:val="auto"/>
                <w:sz w:val="24"/>
                <w:szCs w:val="24"/>
                <w:highlight w:val="none"/>
                <w:lang w:val="en-US" w:eastAsia="zh-CN"/>
              </w:rPr>
              <w:t>6</w:t>
            </w:r>
          </w:p>
        </w:tc>
        <w:tc>
          <w:tcPr>
            <w:tcW w:w="5903" w:type="dxa"/>
            <w:vAlign w:val="center"/>
          </w:tcPr>
          <w:p w14:paraId="1E872BFA">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不符合或不满足：★9.4在质保期保修期内，中标人应确保年开机率在95%（含）以上，若不能达到此开机率，将作以下处理：</w:t>
            </w:r>
          </w:p>
          <w:p w14:paraId="3CC2F278">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（1）年开机率在90（含）-95%（不含）之间，延长质保期保修期1年；</w:t>
            </w:r>
          </w:p>
          <w:p w14:paraId="1CB92AEC">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（2）年开机率在85（含）-90%（不含）之间，延长质保期保修期2年；</w:t>
            </w:r>
          </w:p>
          <w:p w14:paraId="39FA7A8C">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（3）年开机率低于85%（不含），中标人应无条件更换新机，并重新计算质保期保修期，以及赔偿医院的直接经济损失和间接经济损失。</w:t>
            </w:r>
          </w:p>
          <w:p w14:paraId="431E02D5">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注：年开机率=（365-停机天数）/365）。</w:t>
            </w:r>
          </w:p>
          <w:p w14:paraId="7D1656B1">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对以上要求投标人需提供承诺函，否则投标无效。</w:t>
            </w:r>
          </w:p>
        </w:tc>
      </w:tr>
      <w:tr w14:paraId="10F1C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2B62D3D6">
            <w:pPr>
              <w:spacing w:line="360" w:lineRule="auto"/>
              <w:jc w:val="center"/>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10</w:t>
            </w:r>
          </w:p>
        </w:tc>
        <w:tc>
          <w:tcPr>
            <w:tcW w:w="2282" w:type="dxa"/>
            <w:vAlign w:val="center"/>
          </w:tcPr>
          <w:p w14:paraId="0FADA73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带★号条款</w:t>
            </w:r>
            <w:r>
              <w:rPr>
                <w:rFonts w:hint="eastAsia" w:asciiTheme="minorEastAsia" w:hAnsiTheme="minorEastAsia"/>
                <w:color w:val="auto"/>
                <w:sz w:val="24"/>
                <w:szCs w:val="24"/>
                <w:highlight w:val="none"/>
                <w:lang w:val="en-US" w:eastAsia="zh-CN"/>
              </w:rPr>
              <w:t>7</w:t>
            </w:r>
          </w:p>
        </w:tc>
        <w:tc>
          <w:tcPr>
            <w:tcW w:w="5903" w:type="dxa"/>
            <w:vAlign w:val="center"/>
          </w:tcPr>
          <w:p w14:paraId="6C4A4EA5">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不符合或不满足：10.6★投标人应按以下格式在投标文件中提供分项报价表，分项报价表上传至报价分册“优先类节能产品、环境标志产品统计表”。(具体内容详见招标文件第五章）</w:t>
            </w:r>
          </w:p>
        </w:tc>
      </w:tr>
      <w:tr w14:paraId="0D1E3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5AF00052">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11</w:t>
            </w:r>
          </w:p>
        </w:tc>
        <w:tc>
          <w:tcPr>
            <w:tcW w:w="2282" w:type="dxa"/>
            <w:vAlign w:val="center"/>
          </w:tcPr>
          <w:p w14:paraId="7D8EA77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带★号条款</w:t>
            </w:r>
            <w:r>
              <w:rPr>
                <w:rFonts w:hint="eastAsia" w:asciiTheme="minorEastAsia" w:hAnsiTheme="minorEastAsia"/>
                <w:color w:val="auto"/>
                <w:sz w:val="24"/>
                <w:szCs w:val="24"/>
                <w:highlight w:val="none"/>
                <w:lang w:val="en-US" w:eastAsia="zh-CN"/>
              </w:rPr>
              <w:t>8</w:t>
            </w:r>
          </w:p>
        </w:tc>
        <w:tc>
          <w:tcPr>
            <w:tcW w:w="5903" w:type="dxa"/>
            <w:vAlign w:val="center"/>
          </w:tcPr>
          <w:p w14:paraId="10FEF412">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不符合或不满足：10.7★本项目为设备采购，系统中填写的投标报价仅为设备报价，投标人须根据“专机专用耗材报价表”格式另行提供耗材报价，投标人的专机专用耗材报价超过最高限价或未按要求填报专机专用耗材报价表或专机专用耗材报价表中出现错漏的，视为无效投标。(具体内容详见招标文件第五章）</w:t>
            </w:r>
          </w:p>
        </w:tc>
      </w:tr>
      <w:tr w14:paraId="3B9C4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9" w:type="dxa"/>
            <w:vAlign w:val="center"/>
          </w:tcPr>
          <w:p w14:paraId="4AB50AF6">
            <w:pPr>
              <w:spacing w:line="360" w:lineRule="auto"/>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12</w:t>
            </w:r>
          </w:p>
        </w:tc>
        <w:tc>
          <w:tcPr>
            <w:tcW w:w="2282" w:type="dxa"/>
            <w:vAlign w:val="center"/>
          </w:tcPr>
          <w:p w14:paraId="0178D6D8">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带★号条款</w:t>
            </w:r>
            <w:r>
              <w:rPr>
                <w:rFonts w:hint="eastAsia" w:asciiTheme="minorEastAsia" w:hAnsiTheme="minorEastAsia"/>
                <w:color w:val="auto"/>
                <w:sz w:val="24"/>
                <w:szCs w:val="24"/>
                <w:highlight w:val="none"/>
                <w:lang w:val="en-US" w:eastAsia="zh-CN"/>
              </w:rPr>
              <w:t>9</w:t>
            </w:r>
          </w:p>
        </w:tc>
        <w:tc>
          <w:tcPr>
            <w:tcW w:w="5903" w:type="dxa"/>
            <w:vAlign w:val="top"/>
          </w:tcPr>
          <w:p w14:paraId="2EA054CA">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不符合或不满足：13.2★本项目不接受进口产品参与投标，供应商提供的产品符合本国产品标准的，供应商应按照《国务院办公厅关于在政府采购中实施本国产品标准及相关政策的通知》（国办发〔2025〕34号，以下简称《通知》）的规定对提供的产品出具《关于符合本国产品标准的声明函》（以下简称《声明函》，样式详见采购文件“补充条款”）或财政部会同有关部门规定的有关证明文件，出具符合要求的《声明函》或有关证明文件的，该产品视为本国产品，方可享受政府采购对本国产品支持政策。</w:t>
            </w:r>
          </w:p>
        </w:tc>
      </w:tr>
    </w:tbl>
    <w:p w14:paraId="3BE750D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②本项目规定的其他情形：</w:t>
      </w:r>
    </w:p>
    <w:p w14:paraId="5B48571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w:t>
      </w:r>
    </w:p>
    <w:p w14:paraId="5280E07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技术符合性</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2"/>
        <w:gridCol w:w="7451"/>
      </w:tblGrid>
      <w:tr w14:paraId="6F73E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7E41C11B">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w:t>
            </w:r>
          </w:p>
        </w:tc>
        <w:tc>
          <w:tcPr>
            <w:tcW w:w="7451" w:type="dxa"/>
            <w:vAlign w:val="center"/>
          </w:tcPr>
          <w:p w14:paraId="3F66E59B">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明细</w:t>
            </w:r>
          </w:p>
        </w:tc>
      </w:tr>
      <w:tr w14:paraId="6A5EC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20FFEC6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其他情形</w:t>
            </w:r>
          </w:p>
        </w:tc>
        <w:tc>
          <w:tcPr>
            <w:tcW w:w="7451" w:type="dxa"/>
            <w:vAlign w:val="center"/>
          </w:tcPr>
          <w:p w14:paraId="218B49F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投标人技术部分的实际得分少于招标文件设定的技术部分总分50%的，按投标无效处理。</w:t>
            </w:r>
          </w:p>
        </w:tc>
      </w:tr>
    </w:tbl>
    <w:p w14:paraId="63C499F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商务符合性：</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2"/>
        <w:gridCol w:w="7451"/>
      </w:tblGrid>
      <w:tr w14:paraId="3005D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564A4F64">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w:t>
            </w:r>
          </w:p>
        </w:tc>
        <w:tc>
          <w:tcPr>
            <w:tcW w:w="7451" w:type="dxa"/>
            <w:vAlign w:val="center"/>
          </w:tcPr>
          <w:p w14:paraId="559A69C8">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明细</w:t>
            </w:r>
          </w:p>
        </w:tc>
      </w:tr>
      <w:tr w14:paraId="523C6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1B845F5E">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其他情形</w:t>
            </w:r>
          </w:p>
        </w:tc>
        <w:tc>
          <w:tcPr>
            <w:tcW w:w="7451" w:type="dxa"/>
            <w:vAlign w:val="center"/>
          </w:tcPr>
          <w:p w14:paraId="7BD38288">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tc>
      </w:tr>
    </w:tbl>
    <w:p w14:paraId="25F7A44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附加符合性：</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2"/>
        <w:gridCol w:w="7451"/>
      </w:tblGrid>
      <w:tr w14:paraId="27AB8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4EBD979E">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w:t>
            </w:r>
          </w:p>
        </w:tc>
        <w:tc>
          <w:tcPr>
            <w:tcW w:w="7451" w:type="dxa"/>
            <w:vAlign w:val="center"/>
          </w:tcPr>
          <w:p w14:paraId="7E25C71F">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明细</w:t>
            </w:r>
          </w:p>
        </w:tc>
      </w:tr>
      <w:tr w14:paraId="49BE7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6C128955">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其他情形</w:t>
            </w:r>
          </w:p>
        </w:tc>
        <w:tc>
          <w:tcPr>
            <w:tcW w:w="7451" w:type="dxa"/>
            <w:vAlign w:val="center"/>
          </w:tcPr>
          <w:p w14:paraId="46815DF0">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tc>
      </w:tr>
    </w:tbl>
    <w:p w14:paraId="39A5E09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价格符合性</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2"/>
        <w:gridCol w:w="7451"/>
      </w:tblGrid>
      <w:tr w14:paraId="6F41E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41CA766B">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情形</w:t>
            </w:r>
          </w:p>
        </w:tc>
        <w:tc>
          <w:tcPr>
            <w:tcW w:w="7451" w:type="dxa"/>
            <w:vAlign w:val="center"/>
          </w:tcPr>
          <w:p w14:paraId="2EDDEF47">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明细</w:t>
            </w:r>
          </w:p>
        </w:tc>
      </w:tr>
      <w:tr w14:paraId="68CF5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2" w:type="dxa"/>
            <w:vAlign w:val="center"/>
          </w:tcPr>
          <w:p w14:paraId="3F81B379">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其他情形</w:t>
            </w:r>
          </w:p>
        </w:tc>
        <w:tc>
          <w:tcPr>
            <w:tcW w:w="7451" w:type="dxa"/>
            <w:vAlign w:val="center"/>
          </w:tcPr>
          <w:p w14:paraId="61A4ADF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tc>
      </w:tr>
    </w:tbl>
    <w:p w14:paraId="5BDB53F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6.3澄清有关问题</w:t>
      </w:r>
    </w:p>
    <w:p w14:paraId="4E64E86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189EE38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04D8A23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（3）电子投标文件报价出现前后不一致的，除招标文件另有规定外，按照下列规定修正：</w:t>
      </w:r>
    </w:p>
    <w:p w14:paraId="28F86CF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①开标（报价）一览表内容与电子投标文件中相应内容不一致的，以开标（报价）一览表为准；</w:t>
      </w:r>
    </w:p>
    <w:p w14:paraId="2BD3C57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②大写金额和小写金额不一致的，以大写金额为准；</w:t>
      </w:r>
    </w:p>
    <w:p w14:paraId="265B9AD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③单价金额小数点或百分比有明显错位的，以开标（报价）一览表的总价为准，并修改单价；</w:t>
      </w:r>
    </w:p>
    <w:p w14:paraId="2C40292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④总价金额与按照单价汇总金额不一致的，以单价金额计算结果为准。</w:t>
      </w:r>
    </w:p>
    <w:p w14:paraId="59035EF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※同时出现两种以上不一致的，按照前款规定的顺序修正。修正后的报价应按照本章第6.3条第（1）、（2）款规定经投标人确认后产生约束力，投标人不确认的，其投标无效。</w:t>
      </w:r>
    </w:p>
    <w:p w14:paraId="3EBD89F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（4）关于细微偏差</w:t>
      </w:r>
    </w:p>
    <w:p w14:paraId="05DE0C4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26D1A63">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14:paraId="0646BBF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（5）关于投标描述（即电子投标文件中描述的内容）</w:t>
      </w:r>
    </w:p>
    <w:p w14:paraId="2408F9A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①投标描述前后不一致且不涉及证明材料的：按照本章第6.3条第（1）、（2）款规定执行。</w:t>
      </w:r>
    </w:p>
    <w:p w14:paraId="33DAFAE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②投标描述与证明材料不一致或多份证明材料之间不一致的：</w:t>
      </w:r>
    </w:p>
    <w:p w14:paraId="4C19B1C3">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a.评标委员会将要求投标人进行书面澄清，并按照不利于投标人的内容进行评标。</w:t>
      </w:r>
    </w:p>
    <w:p w14:paraId="05A0295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5F0F3CD">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562CE5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6.4比较与评价</w:t>
      </w:r>
    </w:p>
    <w:p w14:paraId="7608D4A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（1）按照本章第7条载明的评标方法和标准，对符合性审查合格的电子投标文件进行比较与评价。</w:t>
      </w:r>
    </w:p>
    <w:p w14:paraId="12381CC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（2）关于相同品牌产品（政府采购服务类项目不适用本条款规定）</w:t>
      </w:r>
    </w:p>
    <w:p w14:paraId="172BF42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94BC2D1">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a.招标文件规定的方式：</w:t>
      </w:r>
    </w:p>
    <w:p w14:paraId="56C868EB">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无</w:t>
      </w:r>
    </w:p>
    <w:p w14:paraId="4812E1A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b.招标文件未规定的，采取随机抽取方式确定，其他投标无效。</w:t>
      </w:r>
    </w:p>
    <w:p w14:paraId="1B8A11E9">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A27B653">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a.招标文件规定的方式：</w:t>
      </w:r>
    </w:p>
    <w:p w14:paraId="2FA7CB2D">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无</w:t>
      </w:r>
    </w:p>
    <w:p w14:paraId="065B201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b.招标文件未规定的，采取随机抽取方式确定，其他同品牌投标人不作为中标候选人。</w:t>
      </w:r>
    </w:p>
    <w:p w14:paraId="7414118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③非单一产品采购项目，多家投标人提供的核心产品品牌相同的，按照本章第6.4条第（2）款第①、②规定处理。</w:t>
      </w:r>
    </w:p>
    <w:p w14:paraId="4DE7DBD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（3）漏（缺）项</w:t>
      </w:r>
    </w:p>
    <w:p w14:paraId="6DD2F86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①招标文件中要求列入报价的费用（含配置、功能），漏（缺）项的报价视为已经包括在投标总价中。</w:t>
      </w:r>
    </w:p>
    <w:p w14:paraId="1DAD1F6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②对多报项及赠送项的价格评标时不予核减，全部进入评标价评议。</w:t>
      </w:r>
    </w:p>
    <w:p w14:paraId="1330A696">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6.5推荐中标候选人：详见本章第7.2条规定。</w:t>
      </w:r>
    </w:p>
    <w:p w14:paraId="5E578D09">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6.6编写评标报告</w:t>
      </w:r>
    </w:p>
    <w:p w14:paraId="1950B8E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（1）评标报告由评标委员会负责编写。</w:t>
      </w:r>
    </w:p>
    <w:p w14:paraId="30B7487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（2）评标报告应包括下列内容：</w:t>
      </w:r>
    </w:p>
    <w:p w14:paraId="7FD0477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①招标公告刊登的媒体名称、开标日期和地点；</w:t>
      </w:r>
    </w:p>
    <w:p w14:paraId="0B761CE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②投标人名单和评标委员会成员名单；</w:t>
      </w:r>
    </w:p>
    <w:p w14:paraId="004FEA8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③评标方法和标准；</w:t>
      </w:r>
    </w:p>
    <w:p w14:paraId="5D6D5C74">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④开标记录和评标情况及说明，包括无效投标人名单及原因；</w:t>
      </w:r>
    </w:p>
    <w:p w14:paraId="4268184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⑤评标结果，包括中标候选人名单或确定的中标人；</w:t>
      </w:r>
    </w:p>
    <w:p w14:paraId="280584EE">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⑥其他需要说明的情况，包括但不限于：评标过程中投标人的澄清、说明或补正，评委更换等。</w:t>
      </w:r>
    </w:p>
    <w:p w14:paraId="2506392C">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7CC3DD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358AA4BF">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6.9在评标过程中发现投标人有下列情形之一的，评标委员会应认定其投标无效，并书面报告本项目监督管理部门：</w:t>
      </w:r>
    </w:p>
    <w:p w14:paraId="1BCEC32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（1）恶意串通（包括但不限于招标文件第三章第9.7条规定情形）；</w:t>
      </w:r>
    </w:p>
    <w:p w14:paraId="7A4883C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（2）妨碍其他投标人的竞争行为；</w:t>
      </w:r>
    </w:p>
    <w:p w14:paraId="7999FC4A">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（3）损害采购人或其他投标人的合法权益。</w:t>
      </w:r>
    </w:p>
    <w:p w14:paraId="22BDEB5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6.10评标过程中，有下列情形之一的，应予废标：</w:t>
      </w:r>
    </w:p>
    <w:p w14:paraId="4988A522">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（1）符合性审查合格的投标人不足三家的；</w:t>
      </w:r>
    </w:p>
    <w:p w14:paraId="114A4205">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（2）有关法律、法规和规章规定废标的情形。</w:t>
      </w:r>
    </w:p>
    <w:p w14:paraId="12EFF008">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※若废标，则本次采购活动结束，</w:t>
      </w:r>
      <w:r>
        <w:rPr>
          <w:rFonts w:hint="eastAsia" w:asciiTheme="minorEastAsia" w:hAnsiTheme="minorEastAsia"/>
          <w:color w:val="auto"/>
          <w:sz w:val="24"/>
          <w:szCs w:val="24"/>
          <w:highlight w:val="none"/>
          <w:lang w:eastAsia="zh-CN"/>
        </w:rPr>
        <w:t>厦门市公物投资管理有限公司</w:t>
      </w:r>
      <w:r>
        <w:rPr>
          <w:rFonts w:asciiTheme="minorEastAsia" w:hAnsiTheme="minorEastAsia"/>
          <w:color w:val="auto"/>
          <w:sz w:val="24"/>
          <w:szCs w:val="24"/>
          <w:highlight w:val="none"/>
        </w:rPr>
        <w:t>将依法组织后续采购活动（包括但不限于：重新招标、采用其他方式采购等）。</w:t>
      </w:r>
    </w:p>
    <w:p w14:paraId="73EC0B30">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7、评标方法和标准</w:t>
      </w:r>
    </w:p>
    <w:p w14:paraId="00AD590B">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7.1评标方法：</w:t>
      </w:r>
    </w:p>
    <w:p w14:paraId="75CB8471">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采购包1：综合评分法</w:t>
      </w:r>
    </w:p>
    <w:p w14:paraId="67379D57">
      <w:pPr>
        <w:pStyle w:val="54"/>
        <w:widowControl w:val="0"/>
        <w:spacing w:line="360" w:lineRule="auto"/>
        <w:ind w:firstLine="480" w:firstLineChars="200"/>
        <w:jc w:val="both"/>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7.2评标标准</w:t>
      </w:r>
    </w:p>
    <w:p w14:paraId="5CE6BF0B">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采购包1：综合评分法</w:t>
      </w:r>
    </w:p>
    <w:p w14:paraId="081D29F8">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（1）投标文件满足招标文件全部实质性要求，且按照评审因素的量化指标评审得分（即评标总得分）最高的投标人为中标候选人。</w:t>
      </w:r>
    </w:p>
    <w:p w14:paraId="63D64938">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7FA463CE">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各项评审因素的设置如下：</w:t>
      </w:r>
    </w:p>
    <w:p w14:paraId="2951D4B8">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价格项（F1×A1）满分为3</w:t>
      </w:r>
      <w:r>
        <w:rPr>
          <w:rFonts w:hint="eastAsia" w:asciiTheme="minorEastAsia" w:hAnsiTheme="minorEastAsia"/>
          <w:color w:val="auto"/>
          <w:sz w:val="24"/>
          <w:szCs w:val="24"/>
          <w:highlight w:val="none"/>
          <w:lang w:val="en-US" w:eastAsia="zh-CN"/>
        </w:rPr>
        <w:t>0</w:t>
      </w:r>
      <w:r>
        <w:rPr>
          <w:rFonts w:asciiTheme="minorEastAsia" w:hAnsiTheme="minorEastAsia"/>
          <w:color w:val="auto"/>
          <w:sz w:val="24"/>
          <w:szCs w:val="24"/>
          <w:highlight w:val="none"/>
        </w:rPr>
        <w:t>.00分</w:t>
      </w:r>
    </w:p>
    <w:p w14:paraId="04490296">
      <w:pPr>
        <w:pStyle w:val="54"/>
        <w:widowControl w:val="0"/>
        <w:spacing w:line="360" w:lineRule="auto"/>
        <w:ind w:firstLine="480" w:firstLineChars="200"/>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本项目价格项分为两个部分进行计算：1、设备价格项（F1-1以投标总报价为依据)</w:t>
      </w:r>
      <w:r>
        <w:rPr>
          <w:rFonts w:hint="eastAsia" w:asciiTheme="minorEastAsia" w:hAnsiTheme="minorEastAsia"/>
          <w:color w:val="auto"/>
          <w:sz w:val="24"/>
          <w:szCs w:val="24"/>
          <w:highlight w:val="none"/>
          <w:lang w:val="en-US" w:eastAsia="zh-CN"/>
        </w:rPr>
        <w:t>15</w:t>
      </w:r>
      <w:r>
        <w:rPr>
          <w:rFonts w:hint="default" w:asciiTheme="minorEastAsia" w:hAnsiTheme="minorEastAsia"/>
          <w:color w:val="auto"/>
          <w:sz w:val="24"/>
          <w:szCs w:val="24"/>
          <w:highlight w:val="none"/>
        </w:rPr>
        <w:t>.00分；2、专机专用耗材价格项（F1-2，以投标人所报的专机专用耗材报价</w:t>
      </w:r>
      <w:r>
        <w:rPr>
          <w:rFonts w:hint="eastAsia" w:asciiTheme="minorEastAsia" w:hAnsiTheme="minorEastAsia"/>
          <w:color w:val="auto"/>
          <w:sz w:val="24"/>
          <w:szCs w:val="24"/>
          <w:highlight w:val="none"/>
          <w:lang w:val="en-US" w:eastAsia="zh-CN"/>
        </w:rPr>
        <w:t>之和</w:t>
      </w:r>
      <w:r>
        <w:rPr>
          <w:rFonts w:hint="default" w:asciiTheme="minorEastAsia" w:hAnsiTheme="minorEastAsia"/>
          <w:color w:val="auto"/>
          <w:sz w:val="24"/>
          <w:szCs w:val="24"/>
          <w:highlight w:val="none"/>
        </w:rPr>
        <w:t>为依据）</w:t>
      </w:r>
      <w:r>
        <w:rPr>
          <w:rFonts w:hint="eastAsia" w:asciiTheme="minorEastAsia" w:hAnsiTheme="minorEastAsia"/>
          <w:color w:val="auto"/>
          <w:sz w:val="24"/>
          <w:szCs w:val="24"/>
          <w:highlight w:val="none"/>
          <w:lang w:val="en-US" w:eastAsia="zh-CN"/>
        </w:rPr>
        <w:t>15</w:t>
      </w:r>
      <w:r>
        <w:rPr>
          <w:rFonts w:hint="default" w:asciiTheme="minorEastAsia" w:hAnsiTheme="minorEastAsia"/>
          <w:color w:val="auto"/>
          <w:sz w:val="24"/>
          <w:szCs w:val="24"/>
          <w:highlight w:val="none"/>
        </w:rPr>
        <w:t>.00分。 满足招标文件要求且报价最低的为评审基准价,F1-1价格项得分=（F1-1评审基准价/F1-1投标报价）×</w:t>
      </w:r>
      <w:r>
        <w:rPr>
          <w:rFonts w:hint="eastAsia" w:asciiTheme="minorEastAsia" w:hAnsiTheme="minorEastAsia"/>
          <w:color w:val="auto"/>
          <w:sz w:val="24"/>
          <w:szCs w:val="24"/>
          <w:highlight w:val="none"/>
          <w:lang w:val="en-US" w:eastAsia="zh-CN"/>
        </w:rPr>
        <w:t>15</w:t>
      </w:r>
      <w:r>
        <w:rPr>
          <w:rFonts w:hint="default" w:asciiTheme="minorEastAsia" w:hAnsiTheme="minorEastAsia"/>
          <w:color w:val="auto"/>
          <w:sz w:val="24"/>
          <w:szCs w:val="24"/>
          <w:highlight w:val="none"/>
        </w:rPr>
        <w:t>， F1-2价格项得分</w:t>
      </w:r>
      <w:r>
        <w:rPr>
          <w:rFonts w:hint="eastAsia" w:asciiTheme="minorEastAsia" w:hAnsiTheme="minorEastAsia"/>
          <w:color w:val="auto"/>
          <w:sz w:val="24"/>
          <w:szCs w:val="24"/>
          <w:highlight w:val="none"/>
          <w:lang w:val="en-US" w:eastAsia="zh-CN"/>
        </w:rPr>
        <w:t>=</w:t>
      </w:r>
      <w:r>
        <w:rPr>
          <w:rFonts w:hint="default" w:asciiTheme="minorEastAsia" w:hAnsiTheme="minorEastAsia"/>
          <w:color w:val="auto"/>
          <w:sz w:val="24"/>
          <w:szCs w:val="24"/>
          <w:highlight w:val="none"/>
        </w:rPr>
        <w:t>（F1-</w:t>
      </w:r>
      <w:r>
        <w:rPr>
          <w:rFonts w:hint="eastAsia" w:asciiTheme="minorEastAsia" w:hAnsiTheme="minorEastAsia"/>
          <w:color w:val="auto"/>
          <w:sz w:val="24"/>
          <w:szCs w:val="24"/>
          <w:highlight w:val="none"/>
          <w:lang w:val="en-US" w:eastAsia="zh-CN"/>
        </w:rPr>
        <w:t>2</w:t>
      </w:r>
      <w:r>
        <w:rPr>
          <w:rFonts w:hint="default" w:asciiTheme="minorEastAsia" w:hAnsiTheme="minorEastAsia"/>
          <w:color w:val="auto"/>
          <w:sz w:val="24"/>
          <w:szCs w:val="24"/>
          <w:highlight w:val="none"/>
        </w:rPr>
        <w:t>评审基准价/F1-</w:t>
      </w:r>
      <w:r>
        <w:rPr>
          <w:rFonts w:hint="eastAsia" w:asciiTheme="minorEastAsia" w:hAnsiTheme="minorEastAsia"/>
          <w:color w:val="auto"/>
          <w:sz w:val="24"/>
          <w:szCs w:val="24"/>
          <w:highlight w:val="none"/>
          <w:lang w:val="en-US" w:eastAsia="zh-CN"/>
        </w:rPr>
        <w:t>2</w:t>
      </w:r>
      <w:r>
        <w:rPr>
          <w:rFonts w:hint="default" w:asciiTheme="minorEastAsia" w:hAnsiTheme="minorEastAsia"/>
          <w:color w:val="auto"/>
          <w:sz w:val="24"/>
          <w:szCs w:val="24"/>
          <w:highlight w:val="none"/>
        </w:rPr>
        <w:t>投标报价）×</w:t>
      </w:r>
      <w:r>
        <w:rPr>
          <w:rFonts w:hint="eastAsia" w:asciiTheme="minorEastAsia" w:hAnsiTheme="minorEastAsia"/>
          <w:color w:val="auto"/>
          <w:sz w:val="24"/>
          <w:szCs w:val="24"/>
          <w:highlight w:val="none"/>
          <w:lang w:val="en-US" w:eastAsia="zh-CN"/>
        </w:rPr>
        <w:t>15</w:t>
      </w:r>
      <w:r>
        <w:rPr>
          <w:rFonts w:hint="default" w:asciiTheme="minorEastAsia" w:hAnsiTheme="minorEastAsia"/>
          <w:color w:val="auto"/>
          <w:sz w:val="24"/>
          <w:szCs w:val="24"/>
          <w:highlight w:val="none"/>
        </w:rPr>
        <w:t>。F1=F1-1+F1-2。最低报价不是中标的唯一依据。因落实政府采购政策进行价格调整的，以调整后的价格计算评标基准价和投标报价。</w:t>
      </w:r>
    </w:p>
    <w:p w14:paraId="32A1D980">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价格扣除的规则如下：</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04"/>
        <w:gridCol w:w="1661"/>
        <w:gridCol w:w="942"/>
        <w:gridCol w:w="4153"/>
      </w:tblGrid>
      <w:tr w14:paraId="1444D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04" w:type="dxa"/>
            <w:vAlign w:val="center"/>
          </w:tcPr>
          <w:p w14:paraId="34ED3652">
            <w:pPr>
              <w:spacing w:line="360" w:lineRule="auto"/>
              <w:jc w:val="center"/>
              <w:rPr>
                <w:rFonts w:asciiTheme="minorEastAsia" w:hAnsiTheme="minorEastAsia"/>
                <w:color w:val="auto"/>
                <w:sz w:val="24"/>
                <w:szCs w:val="24"/>
                <w:highlight w:val="none"/>
              </w:rPr>
            </w:pPr>
            <w:r>
              <w:rPr>
                <w:rFonts w:asciiTheme="minorEastAsia" w:hAnsiTheme="minorEastAsia"/>
                <w:b/>
                <w:color w:val="auto"/>
                <w:sz w:val="24"/>
                <w:szCs w:val="24"/>
                <w:highlight w:val="none"/>
              </w:rPr>
              <w:t>项目</w:t>
            </w:r>
          </w:p>
        </w:tc>
        <w:tc>
          <w:tcPr>
            <w:tcW w:w="1661" w:type="dxa"/>
            <w:vAlign w:val="center"/>
          </w:tcPr>
          <w:p w14:paraId="068441FA">
            <w:pPr>
              <w:spacing w:line="360" w:lineRule="auto"/>
              <w:jc w:val="center"/>
              <w:rPr>
                <w:rFonts w:asciiTheme="minorEastAsia" w:hAnsiTheme="minorEastAsia"/>
                <w:color w:val="auto"/>
                <w:sz w:val="24"/>
                <w:szCs w:val="24"/>
                <w:highlight w:val="none"/>
              </w:rPr>
            </w:pPr>
            <w:r>
              <w:rPr>
                <w:rFonts w:asciiTheme="minorEastAsia" w:hAnsiTheme="minorEastAsia"/>
                <w:b/>
                <w:color w:val="auto"/>
                <w:sz w:val="24"/>
                <w:szCs w:val="24"/>
                <w:highlight w:val="none"/>
              </w:rPr>
              <w:t>适用对象</w:t>
            </w:r>
          </w:p>
        </w:tc>
        <w:tc>
          <w:tcPr>
            <w:tcW w:w="942" w:type="dxa"/>
            <w:vAlign w:val="center"/>
          </w:tcPr>
          <w:p w14:paraId="34C74AF1">
            <w:pPr>
              <w:spacing w:line="360" w:lineRule="auto"/>
              <w:jc w:val="center"/>
              <w:rPr>
                <w:rFonts w:asciiTheme="minorEastAsia" w:hAnsiTheme="minorEastAsia"/>
                <w:color w:val="auto"/>
                <w:sz w:val="24"/>
                <w:szCs w:val="24"/>
                <w:highlight w:val="none"/>
              </w:rPr>
            </w:pPr>
            <w:r>
              <w:rPr>
                <w:rFonts w:asciiTheme="minorEastAsia" w:hAnsiTheme="minorEastAsia"/>
                <w:b/>
                <w:color w:val="auto"/>
                <w:sz w:val="24"/>
                <w:szCs w:val="24"/>
                <w:highlight w:val="none"/>
              </w:rPr>
              <w:t>比例</w:t>
            </w:r>
          </w:p>
        </w:tc>
        <w:tc>
          <w:tcPr>
            <w:tcW w:w="4153" w:type="dxa"/>
            <w:vAlign w:val="center"/>
          </w:tcPr>
          <w:p w14:paraId="082356C9">
            <w:pPr>
              <w:spacing w:line="360" w:lineRule="auto"/>
              <w:jc w:val="center"/>
              <w:rPr>
                <w:rFonts w:asciiTheme="minorEastAsia" w:hAnsiTheme="minorEastAsia"/>
                <w:color w:val="auto"/>
                <w:sz w:val="24"/>
                <w:szCs w:val="24"/>
                <w:highlight w:val="none"/>
              </w:rPr>
            </w:pPr>
            <w:r>
              <w:rPr>
                <w:rFonts w:asciiTheme="minorEastAsia" w:hAnsiTheme="minorEastAsia"/>
                <w:b/>
                <w:color w:val="auto"/>
                <w:sz w:val="24"/>
                <w:szCs w:val="24"/>
                <w:highlight w:val="none"/>
              </w:rPr>
              <w:t>描述</w:t>
            </w:r>
          </w:p>
        </w:tc>
      </w:tr>
      <w:tr w14:paraId="791A8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204" w:type="dxa"/>
            <w:vAlign w:val="center"/>
          </w:tcPr>
          <w:p w14:paraId="4F1DFC43">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小型、微型企业，监狱企业，残疾人福利性单位</w:t>
            </w:r>
          </w:p>
        </w:tc>
        <w:tc>
          <w:tcPr>
            <w:tcW w:w="1661" w:type="dxa"/>
            <w:vAlign w:val="center"/>
          </w:tcPr>
          <w:p w14:paraId="31D245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投标人或者联合体均为小型、微型企业</w:t>
            </w:r>
          </w:p>
        </w:tc>
        <w:tc>
          <w:tcPr>
            <w:tcW w:w="942" w:type="dxa"/>
            <w:vAlign w:val="center"/>
          </w:tcPr>
          <w:p w14:paraId="5595C600">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15%</w:t>
            </w:r>
          </w:p>
        </w:tc>
        <w:tc>
          <w:tcPr>
            <w:tcW w:w="4153" w:type="dxa"/>
            <w:vAlign w:val="center"/>
          </w:tcPr>
          <w:p w14:paraId="2D5D49C6">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价格扣除</w:t>
            </w:r>
            <w:r>
              <w:rPr>
                <w:rFonts w:hint="eastAsia" w:asciiTheme="minorEastAsia" w:hAnsiTheme="minorEastAsia"/>
                <w:color w:val="auto"/>
                <w:sz w:val="24"/>
                <w:szCs w:val="24"/>
                <w:highlight w:val="none"/>
              </w:rPr>
              <w:t>办法详见补充条款。</w:t>
            </w:r>
          </w:p>
        </w:tc>
      </w:tr>
    </w:tbl>
    <w:p w14:paraId="53D283A2">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优先类节能产品、环境标志产品的价格扣除规则如下：</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10"/>
        <w:gridCol w:w="907"/>
        <w:gridCol w:w="6379"/>
      </w:tblGrid>
      <w:tr w14:paraId="1964A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0" w:type="dxa"/>
            <w:vAlign w:val="center"/>
          </w:tcPr>
          <w:p w14:paraId="60B5B683">
            <w:pPr>
              <w:spacing w:line="360" w:lineRule="auto"/>
              <w:jc w:val="center"/>
              <w:rPr>
                <w:rFonts w:asciiTheme="minorEastAsia" w:hAnsiTheme="minorEastAsia"/>
                <w:color w:val="auto"/>
                <w:sz w:val="24"/>
                <w:szCs w:val="24"/>
                <w:highlight w:val="none"/>
              </w:rPr>
            </w:pPr>
            <w:r>
              <w:rPr>
                <w:rFonts w:asciiTheme="minorEastAsia" w:hAnsiTheme="minorEastAsia"/>
                <w:b/>
                <w:color w:val="auto"/>
                <w:sz w:val="24"/>
                <w:szCs w:val="24"/>
                <w:highlight w:val="none"/>
              </w:rPr>
              <w:t>项目</w:t>
            </w:r>
          </w:p>
        </w:tc>
        <w:tc>
          <w:tcPr>
            <w:tcW w:w="907" w:type="dxa"/>
            <w:vAlign w:val="center"/>
          </w:tcPr>
          <w:p w14:paraId="3AB55537">
            <w:pPr>
              <w:spacing w:line="360" w:lineRule="auto"/>
              <w:jc w:val="center"/>
              <w:rPr>
                <w:rFonts w:asciiTheme="minorEastAsia" w:hAnsiTheme="minorEastAsia"/>
                <w:color w:val="auto"/>
                <w:sz w:val="24"/>
                <w:szCs w:val="24"/>
                <w:highlight w:val="none"/>
              </w:rPr>
            </w:pPr>
            <w:r>
              <w:rPr>
                <w:rFonts w:asciiTheme="minorEastAsia" w:hAnsiTheme="minorEastAsia"/>
                <w:b/>
                <w:color w:val="auto"/>
                <w:sz w:val="24"/>
                <w:szCs w:val="24"/>
                <w:highlight w:val="none"/>
              </w:rPr>
              <w:t>比例</w:t>
            </w:r>
          </w:p>
        </w:tc>
        <w:tc>
          <w:tcPr>
            <w:tcW w:w="6379" w:type="dxa"/>
            <w:vAlign w:val="center"/>
          </w:tcPr>
          <w:p w14:paraId="04B3F1DB">
            <w:pPr>
              <w:spacing w:line="360" w:lineRule="auto"/>
              <w:jc w:val="center"/>
              <w:rPr>
                <w:rFonts w:asciiTheme="minorEastAsia" w:hAnsiTheme="minorEastAsia"/>
                <w:color w:val="auto"/>
                <w:sz w:val="24"/>
                <w:szCs w:val="24"/>
                <w:highlight w:val="none"/>
              </w:rPr>
            </w:pPr>
            <w:r>
              <w:rPr>
                <w:rFonts w:hint="eastAsia" w:asciiTheme="minorEastAsia" w:hAnsiTheme="minorEastAsia"/>
                <w:b/>
                <w:color w:val="auto"/>
                <w:sz w:val="24"/>
                <w:szCs w:val="24"/>
                <w:highlight w:val="none"/>
              </w:rPr>
              <w:t>方法</w:t>
            </w:r>
          </w:p>
        </w:tc>
      </w:tr>
      <w:tr w14:paraId="7C069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10" w:type="dxa"/>
            <w:vAlign w:val="center"/>
          </w:tcPr>
          <w:p w14:paraId="7BF8858C">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节能、环境</w:t>
            </w:r>
          </w:p>
          <w:p w14:paraId="6EB7EF7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标志产品</w:t>
            </w:r>
          </w:p>
        </w:tc>
        <w:tc>
          <w:tcPr>
            <w:tcW w:w="907" w:type="dxa"/>
            <w:vAlign w:val="center"/>
          </w:tcPr>
          <w:p w14:paraId="4601398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10%</w:t>
            </w:r>
          </w:p>
        </w:tc>
        <w:tc>
          <w:tcPr>
            <w:tcW w:w="6379" w:type="dxa"/>
            <w:vAlign w:val="center"/>
          </w:tcPr>
          <w:p w14:paraId="249F078F">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w:t>
            </w:r>
          </w:p>
          <w:p w14:paraId="6466429F">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2、投标人应对优先采购产品和非优先采购产品进行分项报价，并单独汇总优先采购产品的总价；若投标人未按要求进行分项报价的，自行承担无法享受价格扣除的不利后果。</w:t>
            </w:r>
          </w:p>
          <w:p w14:paraId="698349FD">
            <w:pPr>
              <w:pStyle w:val="54"/>
              <w:widowControl w:val="0"/>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3、非优先采购产品、强制类节能产品不享受价格扣除优惠。同一优先采购产品中各认证证书不重复计算价格扣除。</w:t>
            </w:r>
          </w:p>
        </w:tc>
      </w:tr>
    </w:tbl>
    <w:p w14:paraId="11AE796F">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其他：无</w:t>
      </w:r>
    </w:p>
    <w:p w14:paraId="4B16EA61">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技术项（F2×A2）满分为55.00分</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1040"/>
        <w:gridCol w:w="6626"/>
      </w:tblGrid>
      <w:tr w14:paraId="40EAA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BEA9BBF">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项目</w:t>
            </w:r>
          </w:p>
        </w:tc>
        <w:tc>
          <w:tcPr>
            <w:tcW w:w="810" w:type="dxa"/>
            <w:vAlign w:val="center"/>
          </w:tcPr>
          <w:p w14:paraId="5CB9F56F">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分值</w:t>
            </w:r>
          </w:p>
        </w:tc>
        <w:tc>
          <w:tcPr>
            <w:tcW w:w="1040" w:type="dxa"/>
            <w:vAlign w:val="center"/>
          </w:tcPr>
          <w:p w14:paraId="3206EAF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是否客观项</w:t>
            </w:r>
          </w:p>
        </w:tc>
        <w:tc>
          <w:tcPr>
            <w:tcW w:w="6626" w:type="dxa"/>
            <w:vAlign w:val="center"/>
          </w:tcPr>
          <w:p w14:paraId="36111BE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描述</w:t>
            </w:r>
          </w:p>
        </w:tc>
      </w:tr>
      <w:tr w14:paraId="4DE1C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82D1E90">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1-1</w:t>
            </w:r>
          </w:p>
        </w:tc>
        <w:tc>
          <w:tcPr>
            <w:tcW w:w="810" w:type="dxa"/>
            <w:vAlign w:val="center"/>
          </w:tcPr>
          <w:p w14:paraId="43C4B91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p>
        </w:tc>
        <w:tc>
          <w:tcPr>
            <w:tcW w:w="1040" w:type="dxa"/>
            <w:vAlign w:val="center"/>
          </w:tcPr>
          <w:p w14:paraId="5C2FB77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2C07CF14">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投标设备满足“可兼容外周血、血浆、唾液、口腔粘膜细胞、活检组织、干血斑、石蜡包埋组织、细胞培养物等各种来源的核酸样本”要求得2分，投标人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0CCA5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6DC1A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w:t>
            </w:r>
          </w:p>
        </w:tc>
        <w:tc>
          <w:tcPr>
            <w:tcW w:w="810" w:type="dxa"/>
            <w:vAlign w:val="center"/>
          </w:tcPr>
          <w:p w14:paraId="76BF78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p>
        </w:tc>
        <w:tc>
          <w:tcPr>
            <w:tcW w:w="1040" w:type="dxa"/>
            <w:vAlign w:val="center"/>
          </w:tcPr>
          <w:p w14:paraId="1E287A3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30B403FD">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投标设备满足“直线形飞行管，具备温度补偿功能”要求得2分，投标人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5C28D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856B580">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1-3</w:t>
            </w:r>
          </w:p>
        </w:tc>
        <w:tc>
          <w:tcPr>
            <w:tcW w:w="810" w:type="dxa"/>
            <w:vAlign w:val="center"/>
          </w:tcPr>
          <w:p w14:paraId="2DB2CEC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p>
        </w:tc>
        <w:tc>
          <w:tcPr>
            <w:tcW w:w="1040" w:type="dxa"/>
            <w:vAlign w:val="center"/>
          </w:tcPr>
          <w:p w14:paraId="3E53E30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401282EE">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投标设备满足“激光器：采用氮气(N)激光器，波长需≥337nm，频率在1~60Hz且可调，可调档位精度不高于1Hz、发射次数≥4*10</w:t>
            </w:r>
            <w:r>
              <w:rPr>
                <w:rFonts w:hint="eastAsia" w:asciiTheme="minorEastAsia" w:hAnsiTheme="minorEastAsia"/>
                <w:color w:val="auto"/>
                <w:sz w:val="24"/>
                <w:szCs w:val="24"/>
                <w:highlight w:val="none"/>
                <w:vertAlign w:val="superscript"/>
                <w:lang w:val="en-US" w:eastAsia="zh-CN"/>
              </w:rPr>
              <w:t>8</w:t>
            </w:r>
            <w:r>
              <w:rPr>
                <w:rFonts w:hint="eastAsia" w:asciiTheme="minorEastAsia" w:hAnsiTheme="minorEastAsia"/>
                <w:color w:val="auto"/>
                <w:sz w:val="24"/>
                <w:szCs w:val="24"/>
                <w:highlight w:val="none"/>
                <w:lang w:val="en-US" w:eastAsia="zh-CN"/>
              </w:rPr>
              <w:t>次”要求得2分，投标人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4AC2D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14AA50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1-4</w:t>
            </w:r>
          </w:p>
        </w:tc>
        <w:tc>
          <w:tcPr>
            <w:tcW w:w="810" w:type="dxa"/>
            <w:vAlign w:val="center"/>
          </w:tcPr>
          <w:p w14:paraId="5AE8305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p>
        </w:tc>
        <w:tc>
          <w:tcPr>
            <w:tcW w:w="1040" w:type="dxa"/>
            <w:vAlign w:val="center"/>
          </w:tcPr>
          <w:p w14:paraId="46948DF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5F247F08">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投标设备满足“真空系统：前级泵应为内置无油隔膜泵，高真空泵应为分子涡轮泵，分子涡轮泵抽速≥300L/S,质谱仪从样品靶板放入质谱仪后到真空抽到3×10</w:t>
            </w:r>
            <w:r>
              <w:rPr>
                <w:rFonts w:hint="eastAsia" w:asciiTheme="minorEastAsia" w:hAnsiTheme="minorEastAsia"/>
                <w:color w:val="auto"/>
                <w:sz w:val="24"/>
                <w:szCs w:val="24"/>
                <w:highlight w:val="none"/>
                <w:vertAlign w:val="superscript"/>
                <w:lang w:val="en-US" w:eastAsia="zh-CN"/>
              </w:rPr>
              <w:t>-6</w:t>
            </w:r>
            <w:r>
              <w:rPr>
                <w:rFonts w:hint="eastAsia" w:asciiTheme="minorEastAsia" w:hAnsiTheme="minorEastAsia"/>
                <w:color w:val="auto"/>
                <w:sz w:val="24"/>
                <w:szCs w:val="24"/>
                <w:highlight w:val="none"/>
                <w:lang w:val="en-US" w:eastAsia="zh-CN"/>
              </w:rPr>
              <w:t>mbar以下所需时间≤50s”要求得2分，投标人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38B5B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707C5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1-5</w:t>
            </w:r>
          </w:p>
        </w:tc>
        <w:tc>
          <w:tcPr>
            <w:tcW w:w="810" w:type="dxa"/>
            <w:vAlign w:val="center"/>
          </w:tcPr>
          <w:p w14:paraId="3FC8A02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3</w:t>
            </w:r>
          </w:p>
        </w:tc>
        <w:tc>
          <w:tcPr>
            <w:tcW w:w="1040" w:type="dxa"/>
            <w:vAlign w:val="center"/>
          </w:tcPr>
          <w:p w14:paraId="705D6D0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0692A2CB">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投标设备满足“▲具备正离子或负离子检测模块，可检测不同种类的化合物，包括蛋白质、脂质等样本的科研分析（提供证明材料）”要求得3分，投标人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7BA36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EB1F4E3">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1-6</w:t>
            </w:r>
          </w:p>
        </w:tc>
        <w:tc>
          <w:tcPr>
            <w:tcW w:w="810" w:type="dxa"/>
            <w:vAlign w:val="center"/>
          </w:tcPr>
          <w:p w14:paraId="08889918">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p>
        </w:tc>
        <w:tc>
          <w:tcPr>
            <w:tcW w:w="1040" w:type="dxa"/>
            <w:vAlign w:val="center"/>
          </w:tcPr>
          <w:p w14:paraId="6A98B56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6A851778">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投标设备满足“具备数据采集和数据处理软件，具备SNP 基因型分析系统；配备多重引物设计与基因型检测和体细胞突变检测的软件,具备数据采集和数据处理软件，微生物数据库的谱图离线分析处理及检索软件，谱图采集和鉴定检索在同一个软件内同步完成，无需切换软件”要求得2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53441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3E6534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1-7</w:t>
            </w:r>
          </w:p>
        </w:tc>
        <w:tc>
          <w:tcPr>
            <w:tcW w:w="810" w:type="dxa"/>
            <w:vAlign w:val="center"/>
          </w:tcPr>
          <w:p w14:paraId="612A37F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p>
        </w:tc>
        <w:tc>
          <w:tcPr>
            <w:tcW w:w="1040" w:type="dxa"/>
            <w:vAlign w:val="center"/>
          </w:tcPr>
          <w:p w14:paraId="365E3DA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1998391E">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投标设备满足“可在单次工作流程中完成多重分析，从DNA到结果数据，可在单个工作日内实现，软件能自动识别峰信号，标记异常结果”要求得2分，投标人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67D5A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B476E30">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1-8</w:t>
            </w:r>
          </w:p>
        </w:tc>
        <w:tc>
          <w:tcPr>
            <w:tcW w:w="810" w:type="dxa"/>
            <w:vAlign w:val="center"/>
          </w:tcPr>
          <w:p w14:paraId="110B2ED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p>
        </w:tc>
        <w:tc>
          <w:tcPr>
            <w:tcW w:w="1040" w:type="dxa"/>
            <w:vAlign w:val="center"/>
          </w:tcPr>
          <w:p w14:paraId="08038D2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3807AE39">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投标设备满足“鉴定结果：标配检索鉴定软件给出质谱鉴定结果的同时还可给出国家级出版社提供的微生物形态学图谱以辅助鉴定结果”要求得2分，投标人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0FB97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EBE689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1-9</w:t>
            </w:r>
          </w:p>
        </w:tc>
        <w:tc>
          <w:tcPr>
            <w:tcW w:w="810" w:type="dxa"/>
            <w:vAlign w:val="center"/>
          </w:tcPr>
          <w:p w14:paraId="1CA1173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p>
        </w:tc>
        <w:tc>
          <w:tcPr>
            <w:tcW w:w="1040" w:type="dxa"/>
            <w:vAlign w:val="center"/>
          </w:tcPr>
          <w:p w14:paraId="5916DFE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22F62313">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投标设备满足“能通过智能算法，对系统进行大样本量训练，构建微生物鉴定区分模型”要求得2分，投标人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04C28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DB55AD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1-10</w:t>
            </w:r>
          </w:p>
        </w:tc>
        <w:tc>
          <w:tcPr>
            <w:tcW w:w="810" w:type="dxa"/>
            <w:vAlign w:val="center"/>
          </w:tcPr>
          <w:p w14:paraId="2611B4F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3</w:t>
            </w:r>
          </w:p>
        </w:tc>
        <w:tc>
          <w:tcPr>
            <w:tcW w:w="1040" w:type="dxa"/>
            <w:vAlign w:val="center"/>
          </w:tcPr>
          <w:p w14:paraId="605EF1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471AD723">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投标设备满足“▲鉴定质量范围m/z：3000-11000（提供证明材料）”要求得3分，投标人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20A9E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BAF832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1-11</w:t>
            </w:r>
          </w:p>
        </w:tc>
        <w:tc>
          <w:tcPr>
            <w:tcW w:w="810" w:type="dxa"/>
            <w:vAlign w:val="center"/>
          </w:tcPr>
          <w:p w14:paraId="4B893D78">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p>
        </w:tc>
        <w:tc>
          <w:tcPr>
            <w:tcW w:w="1040" w:type="dxa"/>
            <w:vAlign w:val="center"/>
          </w:tcPr>
          <w:p w14:paraId="4AB67BD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18127149">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投标设备满足“质量准确度：≤1.5×10</w:t>
            </w:r>
            <w:r>
              <w:rPr>
                <w:rFonts w:hint="eastAsia" w:asciiTheme="minorEastAsia" w:hAnsiTheme="minorEastAsia"/>
                <w:color w:val="auto"/>
                <w:sz w:val="24"/>
                <w:szCs w:val="24"/>
                <w:highlight w:val="none"/>
                <w:vertAlign w:val="superscript"/>
                <w:lang w:val="en-US" w:eastAsia="zh-CN"/>
              </w:rPr>
              <w:t>-4</w:t>
            </w:r>
            <w:r>
              <w:rPr>
                <w:rFonts w:hint="eastAsia" w:asciiTheme="minorEastAsia" w:hAnsiTheme="minorEastAsia"/>
                <w:color w:val="auto"/>
                <w:sz w:val="24"/>
                <w:szCs w:val="24"/>
                <w:highlight w:val="none"/>
                <w:lang w:val="en-US" w:eastAsia="zh-CN"/>
              </w:rPr>
              <w:t>”要求得2分，投标人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62ED5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51BC0A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1-12</w:t>
            </w:r>
          </w:p>
        </w:tc>
        <w:tc>
          <w:tcPr>
            <w:tcW w:w="810" w:type="dxa"/>
            <w:vAlign w:val="center"/>
          </w:tcPr>
          <w:p w14:paraId="559018C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p>
        </w:tc>
        <w:tc>
          <w:tcPr>
            <w:tcW w:w="1040" w:type="dxa"/>
            <w:vAlign w:val="center"/>
          </w:tcPr>
          <w:p w14:paraId="5A2F3EE0">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52A27752">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投标设备满足“质量重复性：质荷比的变异系数≤0.02%”要求得2分，投标人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5B8EA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EC0F84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1-13</w:t>
            </w:r>
          </w:p>
        </w:tc>
        <w:tc>
          <w:tcPr>
            <w:tcW w:w="810" w:type="dxa"/>
            <w:vAlign w:val="center"/>
          </w:tcPr>
          <w:p w14:paraId="4691572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p>
        </w:tc>
        <w:tc>
          <w:tcPr>
            <w:tcW w:w="1040" w:type="dxa"/>
            <w:vAlign w:val="center"/>
          </w:tcPr>
          <w:p w14:paraId="31E065F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176B7A53">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投标设备满足“质量稳定性：8h内的质荷比相对偏差不超过±3×10</w:t>
            </w:r>
            <w:r>
              <w:rPr>
                <w:rFonts w:hint="eastAsia" w:asciiTheme="minorEastAsia" w:hAnsiTheme="minorEastAsia"/>
                <w:color w:val="auto"/>
                <w:sz w:val="24"/>
                <w:szCs w:val="24"/>
                <w:highlight w:val="none"/>
                <w:vertAlign w:val="superscript"/>
                <w:lang w:val="en-US" w:eastAsia="zh-CN"/>
              </w:rPr>
              <w:t xml:space="preserve"> -4</w:t>
            </w:r>
            <w:r>
              <w:rPr>
                <w:rFonts w:hint="eastAsia" w:asciiTheme="minorEastAsia" w:hAnsiTheme="minorEastAsia"/>
                <w:color w:val="auto"/>
                <w:sz w:val="24"/>
                <w:szCs w:val="24"/>
                <w:highlight w:val="none"/>
                <w:lang w:val="en-US" w:eastAsia="zh-CN"/>
              </w:rPr>
              <w:t>”要求得2分，投标人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67355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4BB999D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1-14</w:t>
            </w:r>
          </w:p>
        </w:tc>
        <w:tc>
          <w:tcPr>
            <w:tcW w:w="810" w:type="dxa"/>
            <w:vAlign w:val="center"/>
          </w:tcPr>
          <w:p w14:paraId="2AF1449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p>
        </w:tc>
        <w:tc>
          <w:tcPr>
            <w:tcW w:w="1040" w:type="dxa"/>
            <w:vAlign w:val="center"/>
          </w:tcPr>
          <w:p w14:paraId="0B670DF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01719359">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投标设备满足“质量分辨率：＞3600半高宽(FWHM) ”要求得2分，投标人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2FC99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2EA597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1-15</w:t>
            </w:r>
          </w:p>
        </w:tc>
        <w:tc>
          <w:tcPr>
            <w:tcW w:w="810" w:type="dxa"/>
            <w:vAlign w:val="center"/>
          </w:tcPr>
          <w:p w14:paraId="22ACF7F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3</w:t>
            </w:r>
          </w:p>
        </w:tc>
        <w:tc>
          <w:tcPr>
            <w:tcW w:w="1040" w:type="dxa"/>
            <w:vAlign w:val="center"/>
          </w:tcPr>
          <w:p w14:paraId="7520617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5C3BB659">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投标设备满足“▲每个反应孔仅需1~10ng微量DNA样本，可实现稀有样本检测（提供证明材料）”要求得3分，投标人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3646B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98EFD18">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1-16</w:t>
            </w:r>
          </w:p>
        </w:tc>
        <w:tc>
          <w:tcPr>
            <w:tcW w:w="810" w:type="dxa"/>
            <w:vAlign w:val="center"/>
          </w:tcPr>
          <w:p w14:paraId="7F979C80">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3</w:t>
            </w:r>
          </w:p>
        </w:tc>
        <w:tc>
          <w:tcPr>
            <w:tcW w:w="1040" w:type="dxa"/>
            <w:vAlign w:val="center"/>
          </w:tcPr>
          <w:p w14:paraId="57AEC8B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7F57F5A6">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投标设备满足“▲脱盐树脂可有效去除体系中金属离子，保障准确检出率高准确度:单次检测准确度≥99.9%（提供证明材料）”要求得3分，投标人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71AC2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D23161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1-17</w:t>
            </w:r>
          </w:p>
        </w:tc>
        <w:tc>
          <w:tcPr>
            <w:tcW w:w="810" w:type="dxa"/>
            <w:vAlign w:val="center"/>
          </w:tcPr>
          <w:p w14:paraId="4F45394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p>
        </w:tc>
        <w:tc>
          <w:tcPr>
            <w:tcW w:w="1040" w:type="dxa"/>
            <w:vAlign w:val="center"/>
          </w:tcPr>
          <w:p w14:paraId="2E055B9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5AFA3D2D">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投标设备满足“丝状真菌数据库超过500种”要求得2分，投标人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58558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38CFC24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1-18</w:t>
            </w:r>
          </w:p>
        </w:tc>
        <w:tc>
          <w:tcPr>
            <w:tcW w:w="810" w:type="dxa"/>
            <w:vAlign w:val="center"/>
          </w:tcPr>
          <w:p w14:paraId="30E36320">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3</w:t>
            </w:r>
          </w:p>
        </w:tc>
        <w:tc>
          <w:tcPr>
            <w:tcW w:w="1040" w:type="dxa"/>
            <w:vAlign w:val="center"/>
          </w:tcPr>
          <w:p w14:paraId="23F7B7D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7909DA17">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投标设备满足“▲结核分枝杆菌及耐药检测：支持结核分枝杆菌鉴定，同步检测利福霉素、异烟肼、乙胺丁醇等一线及链霉素、氟喹诺酮等二线药物的耐药基因”要求得3分，投标人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424C7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341AFC0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1-19</w:t>
            </w:r>
          </w:p>
        </w:tc>
        <w:tc>
          <w:tcPr>
            <w:tcW w:w="810" w:type="dxa"/>
            <w:vAlign w:val="center"/>
          </w:tcPr>
          <w:p w14:paraId="08EBC67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3</w:t>
            </w:r>
          </w:p>
        </w:tc>
        <w:tc>
          <w:tcPr>
            <w:tcW w:w="1040" w:type="dxa"/>
            <w:vAlign w:val="center"/>
          </w:tcPr>
          <w:p w14:paraId="7F3C95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76829269">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投标设备满足“▲可对小分子进行耐药检测，包括但不限于β内酰胺酶、氟康唑、哌拉西林、多粘菌素B等抗生素，检测相对误差≤1000ppm”要求得3分，投标人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54DC3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6E60AAF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1-20</w:t>
            </w:r>
          </w:p>
        </w:tc>
        <w:tc>
          <w:tcPr>
            <w:tcW w:w="810" w:type="dxa"/>
            <w:vAlign w:val="center"/>
          </w:tcPr>
          <w:p w14:paraId="0C468F2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3</w:t>
            </w:r>
          </w:p>
        </w:tc>
        <w:tc>
          <w:tcPr>
            <w:tcW w:w="1040" w:type="dxa"/>
            <w:vAlign w:val="center"/>
          </w:tcPr>
          <w:p w14:paraId="7739F913">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287334CA">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投标设备满足“▲具备同品牌核酸提取仪与扩增仪，从而保证检测性能的稳定与工作流程的无缝衔接，且需具备可靠的定制化服务能力（提供佐证资料）”要求得3分，投标人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7D1C9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4D3ADF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1-21</w:t>
            </w:r>
          </w:p>
        </w:tc>
        <w:tc>
          <w:tcPr>
            <w:tcW w:w="810" w:type="dxa"/>
            <w:vAlign w:val="center"/>
          </w:tcPr>
          <w:p w14:paraId="42BF687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p>
        </w:tc>
        <w:tc>
          <w:tcPr>
            <w:tcW w:w="1040" w:type="dxa"/>
            <w:vAlign w:val="center"/>
          </w:tcPr>
          <w:p w14:paraId="31CE935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544D28F3">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呼吸道疾病检测：检测范围需覆盖新冠病毒及其常见亚型（229E/OC43/NL63/HKU1），并能鉴甲/乙型流感、呼吸道合胞病毒等不少于17种常见病原体，包括指定病毒、细菌（包括但不限于肺炎链球菌、嗜肺军团菌）及非典型病原体（包括但不限于肺炎支原体、衣原体）”要求得2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48998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17EA6FB0">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1-22</w:t>
            </w:r>
          </w:p>
        </w:tc>
        <w:tc>
          <w:tcPr>
            <w:tcW w:w="810" w:type="dxa"/>
            <w:vAlign w:val="center"/>
          </w:tcPr>
          <w:p w14:paraId="39841EC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p>
        </w:tc>
        <w:tc>
          <w:tcPr>
            <w:tcW w:w="1040" w:type="dxa"/>
            <w:vAlign w:val="center"/>
          </w:tcPr>
          <w:p w14:paraId="15CC575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2B92529A">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肿瘤检测：可对EGFR（L858R、19del、T790M、S768I）、KRAS（G12V）、TP53（R248L、R175H、V31I、Y220C、R273H、E258K）等多个肺癌相关突变位点进行高灵敏度、多重、低频突变检测，用于早期筛查、耐药监测、疗效评估及个体化精准治疗方案制定（提供佐证资料）”要求得2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37D63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BAF787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1-23</w:t>
            </w:r>
          </w:p>
        </w:tc>
        <w:tc>
          <w:tcPr>
            <w:tcW w:w="810" w:type="dxa"/>
            <w:vAlign w:val="center"/>
          </w:tcPr>
          <w:p w14:paraId="0B4D5A2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2</w:t>
            </w:r>
          </w:p>
        </w:tc>
        <w:tc>
          <w:tcPr>
            <w:tcW w:w="1040" w:type="dxa"/>
            <w:vAlign w:val="center"/>
          </w:tcPr>
          <w:p w14:paraId="3F673D08">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是</w:t>
            </w:r>
          </w:p>
        </w:tc>
        <w:tc>
          <w:tcPr>
            <w:tcW w:w="6626" w:type="dxa"/>
            <w:vAlign w:val="center"/>
          </w:tcPr>
          <w:p w14:paraId="795F4679">
            <w:pPr>
              <w:spacing w:line="36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投标设备满足“幽门螺杆菌检测：支持同步完成菌株鉴定(atpA/ureA)、毒力分型(cagA/vacA)及耐药基因(23S rRNA/gyrA)检测”要求得2分，投标人</w:t>
            </w:r>
            <w:r>
              <w:rPr>
                <w:rFonts w:hint="eastAsia" w:asciiTheme="minorEastAsia" w:hAnsiTheme="minorEastAsia"/>
                <w:color w:val="auto"/>
                <w:sz w:val="24"/>
                <w:szCs w:val="24"/>
                <w:highlight w:val="none"/>
              </w:rPr>
              <w:t>需按第五章第</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.2条要求提供佐证材料，并在佐证材料上标示评分标准对应的内容，否则不得分。</w:t>
            </w:r>
          </w:p>
        </w:tc>
      </w:tr>
      <w:tr w14:paraId="7B07B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B6FBC0E">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1-24</w:t>
            </w:r>
          </w:p>
        </w:tc>
        <w:tc>
          <w:tcPr>
            <w:tcW w:w="810" w:type="dxa"/>
            <w:vAlign w:val="center"/>
          </w:tcPr>
          <w:p w14:paraId="14098DF6">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w:t>
            </w:r>
          </w:p>
        </w:tc>
        <w:tc>
          <w:tcPr>
            <w:tcW w:w="1040" w:type="dxa"/>
            <w:vAlign w:val="center"/>
          </w:tcPr>
          <w:p w14:paraId="391267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是</w:t>
            </w:r>
          </w:p>
        </w:tc>
        <w:tc>
          <w:tcPr>
            <w:tcW w:w="6626" w:type="dxa"/>
            <w:vAlign w:val="center"/>
          </w:tcPr>
          <w:p w14:paraId="7791C1C9">
            <w:pPr>
              <w:spacing w:line="360" w:lineRule="auto"/>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投标设备满足“分枝杆菌数据库≥160种”要求得2分，投标人需按第五章第3.2条要求提供佐证材料，并在佐证材料上标示评分标准对应的内容，否则不得分。</w:t>
            </w:r>
          </w:p>
        </w:tc>
      </w:tr>
    </w:tbl>
    <w:p w14:paraId="6A17704F">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商务项（F3×A3）满分为1</w:t>
      </w:r>
      <w:r>
        <w:rPr>
          <w:rFonts w:hint="eastAsia" w:asciiTheme="minorEastAsia" w:hAnsiTheme="minorEastAsia"/>
          <w:color w:val="auto"/>
          <w:sz w:val="24"/>
          <w:szCs w:val="24"/>
          <w:highlight w:val="none"/>
          <w:lang w:val="en-US" w:eastAsia="zh-CN"/>
        </w:rPr>
        <w:t>5</w:t>
      </w:r>
      <w:r>
        <w:rPr>
          <w:rFonts w:asciiTheme="minorEastAsia" w:hAnsiTheme="minorEastAsia"/>
          <w:color w:val="auto"/>
          <w:sz w:val="24"/>
          <w:szCs w:val="24"/>
          <w:highlight w:val="none"/>
        </w:rPr>
        <w:t>.00分</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1040"/>
        <w:gridCol w:w="6626"/>
      </w:tblGrid>
      <w:tr w14:paraId="782EA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5E70626">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项目</w:t>
            </w:r>
          </w:p>
        </w:tc>
        <w:tc>
          <w:tcPr>
            <w:tcW w:w="810" w:type="dxa"/>
            <w:vAlign w:val="center"/>
          </w:tcPr>
          <w:p w14:paraId="0F5AB730">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分值</w:t>
            </w:r>
          </w:p>
        </w:tc>
        <w:tc>
          <w:tcPr>
            <w:tcW w:w="1040" w:type="dxa"/>
            <w:vAlign w:val="center"/>
          </w:tcPr>
          <w:p w14:paraId="6CAA551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是否客观项</w:t>
            </w:r>
          </w:p>
        </w:tc>
        <w:tc>
          <w:tcPr>
            <w:tcW w:w="6626" w:type="dxa"/>
            <w:vAlign w:val="center"/>
          </w:tcPr>
          <w:p w14:paraId="3550BD6E">
            <w:pPr>
              <w:spacing w:line="360" w:lineRule="auto"/>
              <w:jc w:val="center"/>
              <w:rPr>
                <w:rFonts w:asciiTheme="minorEastAsia" w:hAnsiTheme="minorEastAsia"/>
                <w:color w:val="auto"/>
                <w:sz w:val="24"/>
                <w:szCs w:val="24"/>
                <w:highlight w:val="none"/>
              </w:rPr>
            </w:pPr>
            <w:r>
              <w:rPr>
                <w:rFonts w:asciiTheme="minorEastAsia" w:hAnsiTheme="minorEastAsia"/>
                <w:color w:val="auto"/>
                <w:sz w:val="24"/>
                <w:szCs w:val="24"/>
                <w:highlight w:val="none"/>
              </w:rPr>
              <w:t>描述</w:t>
            </w:r>
          </w:p>
        </w:tc>
      </w:tr>
      <w:tr w14:paraId="7BD55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E443C1C">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2-1</w:t>
            </w:r>
          </w:p>
        </w:tc>
        <w:tc>
          <w:tcPr>
            <w:tcW w:w="810" w:type="dxa"/>
            <w:vAlign w:val="center"/>
          </w:tcPr>
          <w:p w14:paraId="2C342CE4">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3</w:t>
            </w:r>
          </w:p>
        </w:tc>
        <w:tc>
          <w:tcPr>
            <w:tcW w:w="1040" w:type="dxa"/>
            <w:vAlign w:val="center"/>
          </w:tcPr>
          <w:p w14:paraId="64754A0A">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是</w:t>
            </w:r>
          </w:p>
        </w:tc>
        <w:tc>
          <w:tcPr>
            <w:tcW w:w="6626" w:type="dxa"/>
            <w:vAlign w:val="center"/>
          </w:tcPr>
          <w:p w14:paraId="4AD21C40">
            <w:pPr>
              <w:spacing w:line="360" w:lineRule="auto"/>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投标产品交付期在满足招标要求【自医院发出供货通知后30个日历日内交货】内交货的基础上每提前3天得1分，满分3分。投标人须提供书面承诺，否则不得分。</w:t>
            </w:r>
          </w:p>
        </w:tc>
      </w:tr>
      <w:tr w14:paraId="1F4D7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7EBDFAA7">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2-2</w:t>
            </w:r>
          </w:p>
        </w:tc>
        <w:tc>
          <w:tcPr>
            <w:tcW w:w="810" w:type="dxa"/>
            <w:vAlign w:val="center"/>
          </w:tcPr>
          <w:p w14:paraId="4628F6E2">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w:t>
            </w:r>
          </w:p>
        </w:tc>
        <w:tc>
          <w:tcPr>
            <w:tcW w:w="1040" w:type="dxa"/>
            <w:vAlign w:val="center"/>
          </w:tcPr>
          <w:p w14:paraId="0BBBC6E7">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是</w:t>
            </w:r>
          </w:p>
        </w:tc>
        <w:tc>
          <w:tcPr>
            <w:tcW w:w="6626" w:type="dxa"/>
            <w:vAlign w:val="center"/>
          </w:tcPr>
          <w:p w14:paraId="7D09AB10">
            <w:pPr>
              <w:spacing w:line="360" w:lineRule="auto"/>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投标人能够根据售后服务要求提供售后服务方案，方案至少包含售后服务计划、售后服务人员安排以及对保修期外提供相应的服务计划的得2分；未提供或方案不满足以上要求的不得分。</w:t>
            </w:r>
          </w:p>
        </w:tc>
      </w:tr>
      <w:tr w14:paraId="06273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3B9B88EA">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2-3</w:t>
            </w:r>
          </w:p>
        </w:tc>
        <w:tc>
          <w:tcPr>
            <w:tcW w:w="810" w:type="dxa"/>
            <w:vAlign w:val="center"/>
          </w:tcPr>
          <w:p w14:paraId="3B4E44E1">
            <w:pPr>
              <w:spacing w:line="360" w:lineRule="auto"/>
              <w:jc w:val="center"/>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w:t>
            </w:r>
          </w:p>
        </w:tc>
        <w:tc>
          <w:tcPr>
            <w:tcW w:w="1040" w:type="dxa"/>
            <w:vAlign w:val="center"/>
          </w:tcPr>
          <w:p w14:paraId="3C03818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是</w:t>
            </w:r>
          </w:p>
        </w:tc>
        <w:tc>
          <w:tcPr>
            <w:tcW w:w="6626" w:type="dxa"/>
            <w:vAlign w:val="center"/>
          </w:tcPr>
          <w:p w14:paraId="3F92562C">
            <w:pPr>
              <w:spacing w:line="360" w:lineRule="auto"/>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投标人承诺：保修期内若出现任何故障问题，在接到采购人通知后1小时内响应，12小时内维修人员到达现场；其中发生一切费用由中标人承担的得2分，否则不得分。</w:t>
            </w:r>
          </w:p>
        </w:tc>
      </w:tr>
      <w:tr w14:paraId="110B8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2EBD25AA">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2-4</w:t>
            </w:r>
          </w:p>
        </w:tc>
        <w:tc>
          <w:tcPr>
            <w:tcW w:w="810" w:type="dxa"/>
            <w:vAlign w:val="center"/>
          </w:tcPr>
          <w:p w14:paraId="5BC3C25B">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w:t>
            </w:r>
          </w:p>
        </w:tc>
        <w:tc>
          <w:tcPr>
            <w:tcW w:w="1040" w:type="dxa"/>
            <w:vAlign w:val="center"/>
          </w:tcPr>
          <w:p w14:paraId="06BCABFF">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是</w:t>
            </w:r>
          </w:p>
        </w:tc>
        <w:tc>
          <w:tcPr>
            <w:tcW w:w="6626" w:type="dxa"/>
            <w:vAlign w:val="center"/>
          </w:tcPr>
          <w:p w14:paraId="217CCFA6">
            <w:pPr>
              <w:spacing w:line="360" w:lineRule="auto"/>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投标人能够提供设备使用培训方案，方案至少包含培训方式、培训计划和培训大纲，并且对设备的工作原理、操作步骤、正常维护有说明的得2分；未提供或方案不满足以上要求的不得分。</w:t>
            </w:r>
          </w:p>
        </w:tc>
      </w:tr>
      <w:tr w14:paraId="62D70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5C23F10A">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2-5</w:t>
            </w:r>
          </w:p>
        </w:tc>
        <w:tc>
          <w:tcPr>
            <w:tcW w:w="810" w:type="dxa"/>
            <w:vAlign w:val="center"/>
          </w:tcPr>
          <w:p w14:paraId="687740D2">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3</w:t>
            </w:r>
          </w:p>
        </w:tc>
        <w:tc>
          <w:tcPr>
            <w:tcW w:w="1040" w:type="dxa"/>
            <w:vAlign w:val="center"/>
          </w:tcPr>
          <w:p w14:paraId="22173A12">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是</w:t>
            </w:r>
          </w:p>
        </w:tc>
        <w:tc>
          <w:tcPr>
            <w:tcW w:w="6626" w:type="dxa"/>
            <w:vAlign w:val="center"/>
          </w:tcPr>
          <w:p w14:paraId="4FF01033">
            <w:pPr>
              <w:spacing w:line="360" w:lineRule="auto"/>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根据投标人承诺的投标产品保修期过后的年维保费用进行评价：（1）年维保费用≤合同总价3%，得3分；（2）合同总价3%＜年维保费用≤合同总价5%，得2分；（3）合同总价5%＜年维保费用≤合同总价8%，得1分。（3）其他情况不得分。</w:t>
            </w:r>
          </w:p>
        </w:tc>
      </w:tr>
      <w:tr w14:paraId="5FB35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0" w:type="dxa"/>
            <w:vAlign w:val="center"/>
          </w:tcPr>
          <w:p w14:paraId="012A9D2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2-6</w:t>
            </w:r>
          </w:p>
        </w:tc>
        <w:tc>
          <w:tcPr>
            <w:tcW w:w="810" w:type="dxa"/>
            <w:vAlign w:val="center"/>
          </w:tcPr>
          <w:p w14:paraId="3FADDA66">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3</w:t>
            </w:r>
          </w:p>
        </w:tc>
        <w:tc>
          <w:tcPr>
            <w:tcW w:w="1040" w:type="dxa"/>
            <w:vAlign w:val="center"/>
          </w:tcPr>
          <w:p w14:paraId="5EB745B2">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是</w:t>
            </w:r>
          </w:p>
        </w:tc>
        <w:tc>
          <w:tcPr>
            <w:tcW w:w="6626" w:type="dxa"/>
            <w:vAlign w:val="center"/>
          </w:tcPr>
          <w:p w14:paraId="76B43642">
            <w:pPr>
              <w:spacing w:line="360" w:lineRule="auto"/>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根据2022年1月1日（以合同签订时间为准）以来的类似业绩进行评价：每个业绩得1分，满分3分。</w:t>
            </w:r>
          </w:p>
          <w:p w14:paraId="59F806B1">
            <w:pPr>
              <w:spacing w:line="360" w:lineRule="auto"/>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注：（1）类似业绩是指：投标人销售核酸质谱系统的业绩。</w:t>
            </w:r>
          </w:p>
          <w:p w14:paraId="17AF1535">
            <w:pPr>
              <w:spacing w:line="360" w:lineRule="auto"/>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（2）需提供业绩的以下四项证明材料，否则不计分：</w:t>
            </w:r>
          </w:p>
          <w:p w14:paraId="2F864C35">
            <w:pPr>
              <w:spacing w:line="360" w:lineRule="auto"/>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①中标（成交）公告（提供相关网站中标（成交）公告的下载网页并注明网址）；</w:t>
            </w:r>
          </w:p>
          <w:p w14:paraId="50DD3DD8">
            <w:pPr>
              <w:spacing w:line="360" w:lineRule="auto"/>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②中标（成交）通知书；</w:t>
            </w:r>
          </w:p>
          <w:p w14:paraId="6D69FA4E">
            <w:pPr>
              <w:spacing w:line="360" w:lineRule="auto"/>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③采购合同文本；</w:t>
            </w:r>
          </w:p>
          <w:p w14:paraId="7B240D70">
            <w:pPr>
              <w:spacing w:line="360" w:lineRule="auto"/>
              <w:jc w:val="left"/>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④能够证明该业绩项目已经采购人验收合格的相关证明材料。（验收材料须加盖业绩对应采购人印章）</w:t>
            </w:r>
          </w:p>
        </w:tc>
      </w:tr>
    </w:tbl>
    <w:p w14:paraId="430F9605">
      <w:pPr>
        <w:pStyle w:val="54"/>
        <w:spacing w:line="360" w:lineRule="auto"/>
        <w:jc w:val="both"/>
        <w:rPr>
          <w:rFonts w:asciiTheme="minorEastAsia" w:hAnsi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异常低价审查</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系统勾选</w:t>
      </w:r>
      <w:r>
        <w:rPr>
          <w:rFonts w:hint="eastAsia" w:asciiTheme="minorEastAsia" w:hAnsiTheme="minorEastAsia" w:cstheme="minorEastAsia"/>
          <w:color w:val="auto"/>
          <w:sz w:val="24"/>
          <w:szCs w:val="24"/>
          <w:highlight w:val="none"/>
          <w:lang w:eastAsia="zh-CN"/>
        </w:rPr>
        <w:t>【异常低价审查】评审因素后，</w:t>
      </w:r>
      <w:r>
        <w:rPr>
          <w:rFonts w:hint="eastAsia" w:asciiTheme="minorEastAsia" w:hAnsiTheme="minorEastAsia" w:cstheme="minorEastAsia"/>
          <w:color w:val="auto"/>
          <w:sz w:val="24"/>
          <w:szCs w:val="24"/>
          <w:highlight w:val="none"/>
          <w:lang w:val="en-US" w:eastAsia="zh-CN"/>
        </w:rPr>
        <w:t>自动生成。</w:t>
      </w:r>
      <w:r>
        <w:rPr>
          <w:rFonts w:hint="eastAsia" w:asciiTheme="minorEastAsia" w:hAnsiTheme="minorEastAsia" w:cstheme="minorEastAsia"/>
          <w:color w:val="auto"/>
          <w:sz w:val="24"/>
          <w:szCs w:val="24"/>
          <w:highlight w:val="none"/>
          <w:lang w:eastAsia="zh-CN"/>
        </w:rPr>
        <w:t>）</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6"/>
        <w:gridCol w:w="7929"/>
      </w:tblGrid>
      <w:tr w14:paraId="1281B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6" w:type="dxa"/>
          </w:tcPr>
          <w:p w14:paraId="66EB29F0">
            <w:pPr>
              <w:pStyle w:val="54"/>
              <w:spacing w:line="360" w:lineRule="auto"/>
              <w:jc w:val="both"/>
              <w:rPr>
                <w:rFonts w:asciiTheme="minorEastAsia" w:hAnsi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项目</w:t>
            </w:r>
          </w:p>
        </w:tc>
        <w:tc>
          <w:tcPr>
            <w:tcW w:w="7929" w:type="dxa"/>
          </w:tcPr>
          <w:p w14:paraId="35E019AA">
            <w:pPr>
              <w:pStyle w:val="54"/>
              <w:spacing w:line="360" w:lineRule="auto"/>
              <w:jc w:val="both"/>
              <w:rPr>
                <w:rFonts w:asciiTheme="minorEastAsia" w:hAnsi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描述</w:t>
            </w:r>
          </w:p>
        </w:tc>
      </w:tr>
      <w:tr w14:paraId="790F8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6" w:type="dxa"/>
          </w:tcPr>
          <w:p w14:paraId="59056C32">
            <w:pPr>
              <w:pStyle w:val="54"/>
              <w:spacing w:line="360" w:lineRule="auto"/>
              <w:jc w:val="left"/>
              <w:rPr>
                <w:rFonts w:asciiTheme="minorEastAsia" w:hAnsi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异常低价审查</w:t>
            </w:r>
          </w:p>
        </w:tc>
        <w:tc>
          <w:tcPr>
            <w:tcW w:w="7929" w:type="dxa"/>
          </w:tcPr>
          <w:p w14:paraId="3E66F67E">
            <w:pPr>
              <w:pStyle w:val="54"/>
              <w:spacing w:line="360" w:lineRule="auto"/>
              <w:jc w:val="left"/>
              <w:rPr>
                <w:rFonts w:hint="default" w:asciiTheme="minorEastAsia" w:hAnsiTheme="minorEastAsia" w:cstheme="minorEastAsia"/>
                <w:color w:val="auto"/>
                <w:sz w:val="24"/>
                <w:szCs w:val="24"/>
                <w:highlight w:val="none"/>
              </w:rPr>
            </w:pPr>
            <w:r>
              <w:rPr>
                <w:rFonts w:hint="default" w:asciiTheme="minorEastAsia" w:hAnsiTheme="minorEastAsia" w:cstheme="minorEastAsia"/>
                <w:color w:val="auto"/>
                <w:sz w:val="24"/>
                <w:szCs w:val="24"/>
                <w:highlight w:val="none"/>
              </w:rPr>
              <w:t>根据《财政部关于推动解决政府采购异常低价问题的通知》（财库〔2026〕2号），结合本项目（采购包）实际情况，政府采购评审中出现下列情形之一的，评审委员会应当启动异常低价投标（响应）审查程序：（1）响应报价低于全部通过符合性审查供应商响应报价平均值50%的，即响应报价&lt;全部通过符合性审查供应商响应报价平均值×50%。（2）响应报价低于通过符合性审查次低报价供应商响应报价50%的，即响应报价&lt;通过符合性审查次低报价供应商响应报价×50%。（3）响应报价低于最高限价45%的，即响应报价&lt;最高限价×45%。（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06658A96">
      <w:pPr>
        <w:pStyle w:val="54"/>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651AD1F">
      <w:pPr>
        <w:pStyle w:val="54"/>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A6C36FE">
      <w:pPr>
        <w:pStyle w:val="54"/>
        <w:widowControl w:val="0"/>
        <w:spacing w:line="360" w:lineRule="auto"/>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9F7C46C">
      <w:pPr>
        <w:pStyle w:val="54"/>
        <w:widowControl w:val="0"/>
        <w:spacing w:line="360"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29C04F87">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（3）中标候选人排列规则顺序如下：</w:t>
      </w:r>
    </w:p>
    <w:p w14:paraId="0BE1D3D8">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a.按照评标总得分（FA）由高到低顺序排列。</w:t>
      </w:r>
    </w:p>
    <w:p w14:paraId="2B443E91">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b.评标总得分（FA）相同的，按照评标价（即价格扣除后的投标报价）由低到高顺序排列。</w:t>
      </w:r>
    </w:p>
    <w:p w14:paraId="2A49674C">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c.评标总得分（FA）且评标价（即价格扣除后的投标报价）相同的并列。</w:t>
      </w:r>
    </w:p>
    <w:p w14:paraId="75761248">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8、其他规定</w:t>
      </w:r>
    </w:p>
    <w:p w14:paraId="623F06DD">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8.1评标应全程保密且不得透露给任一投标人或与评标工作无关的人员。</w:t>
      </w:r>
    </w:p>
    <w:p w14:paraId="2C06EC7D">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8.2评标将进行全程实时录音录像，录音录像资料随采购文件一并存档。</w:t>
      </w:r>
    </w:p>
    <w:p w14:paraId="365E6331">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8.3若投标人有任何试图干扰具体评标事务，影响评标委员会独立履行职责的行为，其投标无效且不予退还投标保证金。情节严重的，由财政部门列入不良行为记录。</w:t>
      </w:r>
    </w:p>
    <w:p w14:paraId="3C96ADB0">
      <w:pPr>
        <w:pStyle w:val="54"/>
        <w:widowControl w:val="0"/>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8.4其他：无</w:t>
      </w:r>
    </w:p>
    <w:p w14:paraId="58D9A6A2">
      <w:pPr>
        <w:rPr>
          <w:color w:val="auto"/>
          <w:highlight w:val="none"/>
        </w:rPr>
        <w:sectPr>
          <w:pgSz w:w="11906" w:h="16838"/>
          <w:pgMar w:top="1418" w:right="1418" w:bottom="1418" w:left="1418" w:header="851" w:footer="992" w:gutter="0"/>
          <w:cols w:space="425" w:num="1"/>
          <w:docGrid w:type="lines" w:linePitch="312" w:charSpace="0"/>
        </w:sectPr>
      </w:pPr>
    </w:p>
    <w:p w14:paraId="7F64A169">
      <w:pPr>
        <w:pStyle w:val="2"/>
        <w:keepNext/>
        <w:keepLines/>
        <w:widowControl w:val="0"/>
        <w:spacing w:beforeLines="100" w:beforeAutospacing="0" w:afterLines="100" w:afterAutospacing="0"/>
        <w:jc w:val="center"/>
        <w:rPr>
          <w:rFonts w:ascii="黑体" w:hAnsi="黑体" w:eastAsia="黑体" w:cs="Times New Roman"/>
          <w:color w:val="auto"/>
          <w:kern w:val="0"/>
          <w:sz w:val="32"/>
          <w:szCs w:val="44"/>
          <w:highlight w:val="none"/>
        </w:rPr>
      </w:pPr>
      <w:bookmarkStart w:id="18" w:name="_Toc139103797"/>
      <w:r>
        <w:rPr>
          <w:rFonts w:ascii="黑体" w:hAnsi="黑体" w:eastAsia="黑体" w:cs="Times New Roman"/>
          <w:color w:val="auto"/>
          <w:kern w:val="0"/>
          <w:sz w:val="32"/>
          <w:szCs w:val="44"/>
          <w:highlight w:val="none"/>
        </w:rPr>
        <w:t>第五章</w:t>
      </w:r>
      <w:r>
        <w:rPr>
          <w:rFonts w:hint="eastAsia" w:ascii="黑体" w:hAnsi="黑体" w:eastAsia="黑体" w:cs="Times New Roman"/>
          <w:color w:val="auto"/>
          <w:kern w:val="0"/>
          <w:sz w:val="32"/>
          <w:szCs w:val="44"/>
          <w:highlight w:val="none"/>
        </w:rPr>
        <w:t xml:space="preserve">  </w:t>
      </w:r>
      <w:r>
        <w:rPr>
          <w:rFonts w:ascii="黑体" w:hAnsi="黑体" w:eastAsia="黑体" w:cs="Times New Roman"/>
          <w:color w:val="auto"/>
          <w:kern w:val="0"/>
          <w:sz w:val="32"/>
          <w:szCs w:val="44"/>
          <w:highlight w:val="none"/>
        </w:rPr>
        <w:t>招标内容及要求</w:t>
      </w:r>
      <w:bookmarkEnd w:id="18"/>
    </w:p>
    <w:p w14:paraId="184FE0F4">
      <w:pPr>
        <w:pStyle w:val="3"/>
        <w:spacing w:beforeLines="100" w:afterLines="100" w:line="240" w:lineRule="auto"/>
        <w:jc w:val="left"/>
        <w:rPr>
          <w:rFonts w:ascii="黑体" w:hAnsi="黑体" w:eastAsia="黑体" w:cs="Times New Roman"/>
          <w:color w:val="auto"/>
          <w:kern w:val="0"/>
          <w:sz w:val="30"/>
          <w:highlight w:val="none"/>
        </w:rPr>
      </w:pPr>
      <w:bookmarkStart w:id="19" w:name="_Toc139103798"/>
      <w:r>
        <w:rPr>
          <w:rFonts w:ascii="黑体" w:hAnsi="黑体" w:eastAsia="黑体" w:cs="Times New Roman"/>
          <w:color w:val="auto"/>
          <w:kern w:val="0"/>
          <w:sz w:val="30"/>
          <w:highlight w:val="none"/>
        </w:rPr>
        <w:t>一、项目概况（采购标的）</w:t>
      </w:r>
      <w:bookmarkEnd w:id="19"/>
    </w:p>
    <w:p w14:paraId="015B52F0">
      <w:pPr>
        <w:pStyle w:val="46"/>
        <w:numPr>
          <w:ilvl w:val="0"/>
          <w:numId w:val="1"/>
        </w:numPr>
        <w:spacing w:beforeLines="100" w:afterLines="100"/>
        <w:ind w:left="0" w:firstLine="0" w:firstLineChars="0"/>
        <w:rPr>
          <w:rFonts w:ascii="宋体" w:hAnsi="宋体" w:eastAsia="宋体"/>
          <w:b/>
          <w:color w:val="auto"/>
          <w:sz w:val="28"/>
          <w:szCs w:val="28"/>
          <w:highlight w:val="none"/>
        </w:rPr>
      </w:pPr>
      <w:r>
        <w:rPr>
          <w:rFonts w:hint="eastAsia" w:ascii="宋体" w:hAnsi="宋体" w:eastAsia="宋体"/>
          <w:b/>
          <w:color w:val="auto"/>
          <w:sz w:val="28"/>
          <w:szCs w:val="28"/>
          <w:highlight w:val="none"/>
        </w:rPr>
        <w:t>项目概况</w:t>
      </w:r>
    </w:p>
    <w:p w14:paraId="1975B8D4">
      <w:pPr>
        <w:spacing w:line="360" w:lineRule="auto"/>
        <w:ind w:firstLine="480" w:firstLineChars="200"/>
        <w:jc w:val="left"/>
        <w:rPr>
          <w:rFonts w:hint="eastAsia" w:asciiTheme="minorEastAsia" w:hAnsiTheme="minorEastAsia"/>
          <w:color w:val="auto"/>
          <w:sz w:val="24"/>
          <w:highlight w:val="none"/>
        </w:rPr>
      </w:pPr>
      <w:r>
        <w:rPr>
          <w:rFonts w:hint="eastAsia" w:asciiTheme="minorEastAsia" w:hAnsiTheme="minorEastAsia"/>
          <w:color w:val="auto"/>
          <w:sz w:val="24"/>
          <w:highlight w:val="none"/>
        </w:rPr>
        <w:t>本项目为厦门市卫生健康委员会(厦门市医用设备集中采购工作专班)核酸质谱系统统招分签采购项目。采购数量为1套，分为1个采购包进行招标，具体技术参数详见下文要求。</w:t>
      </w:r>
    </w:p>
    <w:p w14:paraId="28EA1D5B">
      <w:pPr>
        <w:spacing w:line="360" w:lineRule="auto"/>
        <w:ind w:firstLine="480" w:firstLineChars="200"/>
        <w:jc w:val="left"/>
        <w:rPr>
          <w:rFonts w:hint="eastAsia" w:ascii="宋体" w:hAnsi="宋体" w:eastAsia="宋体" w:cs="宋体"/>
          <w:color w:val="auto"/>
          <w:sz w:val="24"/>
          <w:highlight w:val="none"/>
        </w:rPr>
      </w:pPr>
      <w:r>
        <w:rPr>
          <w:rFonts w:hint="eastAsia" w:asciiTheme="minorEastAsia" w:hAnsiTheme="minorEastAsia"/>
          <w:color w:val="auto"/>
          <w:sz w:val="24"/>
          <w:highlight w:val="none"/>
        </w:rPr>
        <w:t>本项目采用统招分签方式，由厦门市卫生健康委员会作为采购人牵头统一组织采购，投标人中标后需分别和各个医院（即分签单位）签订采购合同，并就所供设备向所属医院负</w:t>
      </w:r>
      <w:r>
        <w:rPr>
          <w:rFonts w:hint="eastAsia" w:ascii="宋体" w:hAnsi="宋体" w:eastAsia="宋体" w:cs="宋体"/>
          <w:color w:val="auto"/>
          <w:sz w:val="24"/>
          <w:highlight w:val="none"/>
        </w:rPr>
        <w:t>责。涉及的医院如下：</w:t>
      </w:r>
    </w:p>
    <w:p w14:paraId="1BE126DA">
      <w:pPr>
        <w:pStyle w:val="54"/>
        <w:ind w:left="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41"/>
        <w:gridCol w:w="3298"/>
        <w:gridCol w:w="1732"/>
        <w:gridCol w:w="3009"/>
      </w:tblGrid>
      <w:tr w14:paraId="7E611F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3D64997">
            <w:pPr>
              <w:pStyle w:val="54"/>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E833D25">
            <w:pPr>
              <w:pStyle w:val="54"/>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分签单位</w:t>
            </w:r>
          </w:p>
        </w:tc>
        <w:tc>
          <w:tcPr>
            <w:tcW w:w="173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536836">
            <w:pPr>
              <w:pStyle w:val="54"/>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en-US" w:eastAsia="zh-CN"/>
              </w:rPr>
              <w:t>套</w:t>
            </w:r>
            <w:r>
              <w:rPr>
                <w:rFonts w:hint="eastAsia" w:ascii="宋体" w:hAnsi="宋体" w:eastAsia="宋体" w:cs="宋体"/>
                <w:color w:val="auto"/>
                <w:sz w:val="24"/>
                <w:szCs w:val="24"/>
                <w:highlight w:val="none"/>
              </w:rPr>
              <w:t>）</w:t>
            </w:r>
          </w:p>
        </w:tc>
        <w:tc>
          <w:tcPr>
            <w:tcW w:w="30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41F01F">
            <w:pPr>
              <w:pStyle w:val="54"/>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p>
        </w:tc>
      </w:tr>
      <w:tr w14:paraId="08338B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9736CC">
            <w:pPr>
              <w:pStyle w:val="54"/>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8F96C">
            <w:pPr>
              <w:pStyle w:val="54"/>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厦门大学附属第一医院</w:t>
            </w:r>
          </w:p>
        </w:tc>
        <w:tc>
          <w:tcPr>
            <w:tcW w:w="17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65E8FB">
            <w:pPr>
              <w:pStyle w:val="54"/>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219D14">
            <w:pPr>
              <w:pStyle w:val="54"/>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0,000.00</w:t>
            </w:r>
          </w:p>
        </w:tc>
      </w:tr>
      <w:tr w14:paraId="4EAA5E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39"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69816">
            <w:pPr>
              <w:pStyle w:val="54"/>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73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7ECBD">
            <w:pPr>
              <w:pStyle w:val="54"/>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30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D1D715">
            <w:pPr>
              <w:pStyle w:val="54"/>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0,000.00</w:t>
            </w:r>
          </w:p>
        </w:tc>
      </w:tr>
    </w:tbl>
    <w:p w14:paraId="602D878A">
      <w:pPr>
        <w:pStyle w:val="3"/>
        <w:spacing w:beforeLines="100" w:afterLines="100" w:line="240" w:lineRule="auto"/>
        <w:jc w:val="left"/>
        <w:rPr>
          <w:rFonts w:ascii="黑体" w:hAnsi="黑体" w:eastAsia="黑体" w:cs="Times New Roman"/>
          <w:color w:val="auto"/>
          <w:kern w:val="0"/>
          <w:sz w:val="30"/>
          <w:highlight w:val="none"/>
        </w:rPr>
      </w:pPr>
      <w:bookmarkStart w:id="20" w:name="_Toc139103799"/>
      <w:r>
        <w:rPr>
          <w:rFonts w:ascii="黑体" w:hAnsi="黑体" w:eastAsia="黑体" w:cs="Times New Roman"/>
          <w:color w:val="auto"/>
          <w:kern w:val="0"/>
          <w:sz w:val="30"/>
          <w:highlight w:val="none"/>
        </w:rPr>
        <w:t>二、技术和服务要求</w:t>
      </w:r>
      <w:bookmarkEnd w:id="20"/>
    </w:p>
    <w:p w14:paraId="427BB0E1">
      <w:pPr>
        <w:rPr>
          <w:rFonts w:asciiTheme="minorEastAsia" w:hAnsiTheme="minorEastAsia"/>
          <w:color w:val="auto"/>
          <w:sz w:val="28"/>
          <w:szCs w:val="28"/>
          <w:highlight w:val="none"/>
        </w:rPr>
      </w:pPr>
      <w:r>
        <w:rPr>
          <w:rFonts w:asciiTheme="minorEastAsia" w:hAnsiTheme="minorEastAsia"/>
          <w:color w:val="auto"/>
          <w:sz w:val="28"/>
          <w:szCs w:val="28"/>
          <w:highlight w:val="none"/>
        </w:rPr>
        <w:t>（以“</w:t>
      </w:r>
      <w:r>
        <w:rPr>
          <w:rFonts w:hint="eastAsia" w:cs="宋体" w:asciiTheme="minorEastAsia" w:hAnsiTheme="minorEastAsia"/>
          <w:color w:val="auto"/>
          <w:sz w:val="28"/>
          <w:szCs w:val="28"/>
          <w:highlight w:val="none"/>
        </w:rPr>
        <w:t>★</w:t>
      </w:r>
      <w:r>
        <w:rPr>
          <w:rFonts w:cs="Calibri" w:asciiTheme="minorEastAsia" w:hAnsiTheme="minorEastAsia"/>
          <w:color w:val="auto"/>
          <w:sz w:val="28"/>
          <w:szCs w:val="28"/>
          <w:highlight w:val="none"/>
        </w:rPr>
        <w:t>”</w:t>
      </w:r>
      <w:r>
        <w:rPr>
          <w:rFonts w:asciiTheme="minorEastAsia" w:hAnsiTheme="minorEastAsia"/>
          <w:color w:val="auto"/>
          <w:sz w:val="28"/>
          <w:szCs w:val="28"/>
          <w:highlight w:val="none"/>
        </w:rPr>
        <w:t>标示的内容为不允许负偏离的实质性要求）</w:t>
      </w:r>
    </w:p>
    <w:p w14:paraId="29B358E6">
      <w:pPr>
        <w:pStyle w:val="46"/>
        <w:numPr>
          <w:ilvl w:val="0"/>
          <w:numId w:val="1"/>
        </w:numPr>
        <w:spacing w:beforeLines="100" w:afterLines="100"/>
        <w:ind w:left="0" w:firstLine="0" w:firstLineChars="0"/>
        <w:rPr>
          <w:rFonts w:ascii="宋体" w:hAnsi="宋体" w:eastAsia="宋体"/>
          <w:b/>
          <w:color w:val="auto"/>
          <w:sz w:val="28"/>
          <w:szCs w:val="28"/>
          <w:highlight w:val="none"/>
        </w:rPr>
      </w:pPr>
      <w:r>
        <w:rPr>
          <w:rFonts w:hint="eastAsia" w:ascii="宋体" w:hAnsi="宋体" w:eastAsia="宋体"/>
          <w:b/>
          <w:color w:val="auto"/>
          <w:sz w:val="28"/>
          <w:szCs w:val="28"/>
          <w:highlight w:val="none"/>
        </w:rPr>
        <w:t>技术参数要求</w:t>
      </w:r>
    </w:p>
    <w:p w14:paraId="3DAFC61B">
      <w:pPr>
        <w:spacing w:line="360" w:lineRule="auto"/>
        <w:ind w:firstLine="480" w:firstLineChars="200"/>
        <w:jc w:val="left"/>
        <w:rPr>
          <w:rFonts w:hint="eastAsia" w:asciiTheme="minorEastAsia" w:hAnsiTheme="minorEastAsia"/>
          <w:color w:val="auto"/>
          <w:sz w:val="24"/>
          <w:highlight w:val="none"/>
        </w:rPr>
      </w:pPr>
      <w:r>
        <w:rPr>
          <w:rFonts w:hint="eastAsia" w:asciiTheme="minorEastAsia" w:hAnsiTheme="minorEastAsia"/>
          <w:color w:val="auto"/>
          <w:sz w:val="24"/>
          <w:highlight w:val="none"/>
          <w:lang w:val="en-US" w:eastAsia="zh-CN"/>
        </w:rPr>
        <w:t>2.1采购包1：核酸质谱系统（分签医院：厦门大学附属第一医院</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技术参数要求</w:t>
      </w:r>
    </w:p>
    <w:p w14:paraId="3B9FA99F">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2.1.1★质谱仪为桌面台式机，基于基质辅助激光解析电离飞行时间质谱（MALDI-TOF MS）技术进行基因检测。通过检测碱基质量的差别，对基因进行直接分析分型，支持同时分析检测两个及以上已知单核苷酸多态性（SNP）基因，支持检测三等位基因或四等位基因SNP，支持检测体细胞突变、碱基插入或者缺失等。</w:t>
      </w:r>
    </w:p>
    <w:p w14:paraId="20499CD6">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2.1.2可兼容外周血、血浆、唾液、口腔粘膜细胞、活检组织、干血斑、石蜡包埋组织、细胞培养物等各种来源的核酸样本。</w:t>
      </w:r>
    </w:p>
    <w:p w14:paraId="0D650724">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2.1.3直线形飞行管，具备温度补偿功能。</w:t>
      </w:r>
    </w:p>
    <w:p w14:paraId="47E7EB3C">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2.1.4激光器：采用氮气(N)激光器，波长需≥337nm，频率在1~60Hz且可调，可调档位精度不高于1Hz、发射次数≥4*10</w:t>
      </w:r>
      <w:r>
        <w:rPr>
          <w:rFonts w:hint="eastAsia" w:asciiTheme="minorEastAsia" w:hAnsiTheme="minorEastAsia"/>
          <w:color w:val="auto"/>
          <w:sz w:val="24"/>
          <w:highlight w:val="none"/>
          <w:vertAlign w:val="superscript"/>
          <w:lang w:val="en-US" w:eastAsia="zh-CN"/>
        </w:rPr>
        <w:t>8</w:t>
      </w:r>
      <w:r>
        <w:rPr>
          <w:rFonts w:hint="eastAsia" w:asciiTheme="minorEastAsia" w:hAnsiTheme="minorEastAsia"/>
          <w:color w:val="auto"/>
          <w:sz w:val="24"/>
          <w:highlight w:val="none"/>
          <w:lang w:val="en-US" w:eastAsia="zh-CN"/>
        </w:rPr>
        <w:t>次。</w:t>
      </w:r>
    </w:p>
    <w:p w14:paraId="540A8DE3">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2.1.5真空系统：前级泵应为内置无油隔膜泵，高真空泵应为分子涡轮泵，分子涡轮泵抽速≥300L/S,质谱仪从样品靶板放入质谱仪后到真空抽到3×10</w:t>
      </w:r>
      <w:r>
        <w:rPr>
          <w:rFonts w:hint="eastAsia" w:asciiTheme="minorEastAsia" w:hAnsiTheme="minorEastAsia"/>
          <w:color w:val="auto"/>
          <w:sz w:val="24"/>
          <w:highlight w:val="none"/>
          <w:vertAlign w:val="superscript"/>
          <w:lang w:val="en-US" w:eastAsia="zh-CN"/>
        </w:rPr>
        <w:t>-6</w:t>
      </w:r>
      <w:r>
        <w:rPr>
          <w:rFonts w:hint="eastAsia" w:asciiTheme="minorEastAsia" w:hAnsiTheme="minorEastAsia"/>
          <w:color w:val="auto"/>
          <w:sz w:val="24"/>
          <w:highlight w:val="none"/>
          <w:lang w:val="en-US" w:eastAsia="zh-CN"/>
        </w:rPr>
        <w:t>mbar以下所需时间≤50s。</w:t>
      </w:r>
    </w:p>
    <w:p w14:paraId="42CBBE38">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2.1.6★检测器为微通道板（MCP）电子倍增器（非打拿极）,检测和分析96个样本时间≤40min。</w:t>
      </w:r>
    </w:p>
    <w:p w14:paraId="1E16A6A0">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2.1.7▲具备正离子或负离子检测模块，可检测不同种类的化合物，包括蛋白质、脂质等样本的科研分析（提供证明材料）。</w:t>
      </w:r>
    </w:p>
    <w:p w14:paraId="34ABA461">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2.1.8★分体式靶面和靶托，靶板厚度0.65-0.75mm之间（图片佐证），不锈钢靶板可重复使用（2000次及以上）。</w:t>
      </w:r>
    </w:p>
    <w:p w14:paraId="67BDB583">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2.1.9具备数据采集和数据处理软件，具备SNP 基因型分析系统；配备多重引物设计与基因型检测和体细胞突变检测的软件,具备数据采集和数据处理软件，微生物数据库的谱图离线分析处理及检索软件，谱图采集和鉴定检索在同一个软件内同步完成，无需切换软件。</w:t>
      </w:r>
    </w:p>
    <w:p w14:paraId="12325C12">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2.1.10可在单次工作流程中完成多重分析，从DNA到结果数据，可在单个工作日内实现，软件能自动识别峰信号，标记异常结果。</w:t>
      </w:r>
    </w:p>
    <w:p w14:paraId="6B2F827F">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2.1.11鉴定结果：标配检索鉴定软件给出质谱鉴定结果的同时还可给出国家级出版社提供的微生物形态学图谱以辅助鉴定结果。</w:t>
      </w:r>
    </w:p>
    <w:p w14:paraId="70BDCD1E">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2.1.12能通过智能算法，对系统进行大样本量训练，构建微生物鉴定区分模型。</w:t>
      </w:r>
    </w:p>
    <w:p w14:paraId="4A4127DA">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2.1.13▲鉴定质量范围m/z：3000-11000（提供证明材料）。</w:t>
      </w:r>
    </w:p>
    <w:p w14:paraId="77FAC416">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2.1.14质量准确度：≤1.5×10</w:t>
      </w:r>
      <w:r>
        <w:rPr>
          <w:rFonts w:hint="eastAsia" w:asciiTheme="minorEastAsia" w:hAnsiTheme="minorEastAsia"/>
          <w:color w:val="auto"/>
          <w:sz w:val="24"/>
          <w:highlight w:val="none"/>
          <w:vertAlign w:val="superscript"/>
          <w:lang w:val="en-US" w:eastAsia="zh-CN"/>
        </w:rPr>
        <w:t>-4</w:t>
      </w:r>
      <w:r>
        <w:rPr>
          <w:rFonts w:hint="eastAsia" w:asciiTheme="minorEastAsia" w:hAnsiTheme="minorEastAsia"/>
          <w:color w:val="auto"/>
          <w:sz w:val="24"/>
          <w:highlight w:val="none"/>
          <w:lang w:val="en-US" w:eastAsia="zh-CN"/>
        </w:rPr>
        <w:t>；</w:t>
      </w:r>
    </w:p>
    <w:p w14:paraId="0F601FF1">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2.1.15质量重复性：质荷比的变异系数≤0.02%；</w:t>
      </w:r>
    </w:p>
    <w:p w14:paraId="71D5CB56">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2.1.16质量稳定性：8h内的质荷比相对偏差不超过±3×10</w:t>
      </w:r>
      <w:r>
        <w:rPr>
          <w:rFonts w:hint="eastAsia" w:asciiTheme="minorEastAsia" w:hAnsiTheme="minorEastAsia"/>
          <w:color w:val="auto"/>
          <w:sz w:val="24"/>
          <w:highlight w:val="none"/>
          <w:vertAlign w:val="superscript"/>
          <w:lang w:val="en-US" w:eastAsia="zh-CN"/>
        </w:rPr>
        <w:t xml:space="preserve"> -4</w:t>
      </w:r>
      <w:r>
        <w:rPr>
          <w:rFonts w:hint="eastAsia" w:asciiTheme="minorEastAsia" w:hAnsiTheme="minorEastAsia"/>
          <w:color w:val="auto"/>
          <w:sz w:val="24"/>
          <w:highlight w:val="none"/>
          <w:lang w:val="en-US" w:eastAsia="zh-CN"/>
        </w:rPr>
        <w:t>；</w:t>
      </w:r>
    </w:p>
    <w:p w14:paraId="0DC00670">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2.1.17质量分辨率：＞3600半高宽(FWHM) 。</w:t>
      </w:r>
    </w:p>
    <w:p w14:paraId="0E7E195B">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2.1.18▲每个反应孔仅需1~10ng微量DNA样本，可实现稀有样本检测（提供证明材料）。</w:t>
      </w:r>
    </w:p>
    <w:p w14:paraId="5781C9E9">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2.1.19▲脱盐树脂可有效去除体系中金属离子，保障准确检出率高准确度:单次检测准确度≥99.9%（提供证明材料）。</w:t>
      </w:r>
    </w:p>
    <w:p w14:paraId="5F57D703">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2.1.20丝状真菌数据库超过500种。</w:t>
      </w:r>
    </w:p>
    <w:p w14:paraId="40D930BE">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2.1.21▲结核分枝杆菌及耐药检测：支持结核分枝杆菌鉴定，同步检测利福霉素、异烟肼、乙胺丁醇等一线及链霉素、氟喹诺酮等二线药物的耐药基因。</w:t>
      </w:r>
    </w:p>
    <w:p w14:paraId="58772DEC">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2.1.22▲可对小分子进行耐药检测，包括但不限于β内酰胺酶、氟康唑、哌拉西林、多粘菌素B等抗生素，检测相对误差≤1000ppm。</w:t>
      </w:r>
    </w:p>
    <w:p w14:paraId="53096A81">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2.1.23▲具备同品牌核酸提取仪与扩增仪，从而保证检测性能的稳定与工作流程的无缝衔接，且需具备可靠的定制化服务能力（提供佐证资料）。</w:t>
      </w:r>
    </w:p>
    <w:p w14:paraId="530242E6">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2.1.24呼吸道疾病检测：检测范围需覆盖新冠病毒及其常见亚型（229E/OC43/NL63/HKU1），并能鉴甲/乙型流感、呼吸道合胞病毒等不少于17种常见病原体，包括指定病毒、细菌（包括但不限于肺炎链球菌、嗜肺军团菌）及非典型病原体（包括但不限于肺炎支原体、衣原体）。</w:t>
      </w:r>
    </w:p>
    <w:p w14:paraId="02141DD3">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2.1.25肿瘤检测：可对EGFR（L858R、19del、T790M、S768I）、KRAS（G12V）、TP53（R248L、R175H、V31I、Y220C、R273H、E258K）等多个肺癌相关突变位点进行高灵敏度、多重、低频突变检测，用于早期筛查、耐药监测、疗效评估及个体化精准治疗方案制定（提供佐证资料）。</w:t>
      </w:r>
    </w:p>
    <w:p w14:paraId="6897B20C">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2.1.26幽门螺杆菌检测：支持同步完成菌株鉴定(atpA/ureA)、毒力分型(cagA/vacA)及耐药基因(23S rRNA/gyrA)检测。</w:t>
      </w:r>
    </w:p>
    <w:p w14:paraId="02968C54">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2.1.27分枝杆菌数据库≥160种。</w:t>
      </w:r>
    </w:p>
    <w:p w14:paraId="0007CDE0">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2.1.28★单台设备配置清单</w:t>
      </w:r>
    </w:p>
    <w:tbl>
      <w:tblPr>
        <w:tblStyle w:val="17"/>
        <w:tblW w:w="91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7"/>
        <w:gridCol w:w="5107"/>
        <w:gridCol w:w="1179"/>
        <w:gridCol w:w="1927"/>
      </w:tblGrid>
      <w:tr w14:paraId="53ECA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13C5">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序号</w:t>
            </w:r>
          </w:p>
        </w:tc>
        <w:tc>
          <w:tcPr>
            <w:tcW w:w="5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1132">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配置清单</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805F">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数量</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F377">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单位</w:t>
            </w:r>
          </w:p>
        </w:tc>
      </w:tr>
      <w:tr w14:paraId="429B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D8B6">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w:t>
            </w:r>
          </w:p>
        </w:tc>
        <w:tc>
          <w:tcPr>
            <w:tcW w:w="5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4C44">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飞行时间质谱系统主机</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67FC">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4CD9">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套</w:t>
            </w:r>
          </w:p>
        </w:tc>
      </w:tr>
      <w:tr w14:paraId="0BFF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433A">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w:t>
            </w:r>
          </w:p>
        </w:tc>
        <w:tc>
          <w:tcPr>
            <w:tcW w:w="5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18D7">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系统工作站（工作站内存不低于16GB DDR5、硬盘不低于512GB 固态硬盘）</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74AE">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FD2D">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套</w:t>
            </w:r>
          </w:p>
        </w:tc>
      </w:tr>
      <w:tr w14:paraId="5F00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A7FB">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w:t>
            </w:r>
          </w:p>
        </w:tc>
        <w:tc>
          <w:tcPr>
            <w:tcW w:w="5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E463">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同品牌核酸提取仪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0060">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E033">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套</w:t>
            </w:r>
          </w:p>
        </w:tc>
      </w:tr>
      <w:tr w14:paraId="0034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AA89">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w:t>
            </w:r>
          </w:p>
        </w:tc>
        <w:tc>
          <w:tcPr>
            <w:tcW w:w="5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3A88">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同品牌扩增仪</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A798">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D384">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套</w:t>
            </w:r>
          </w:p>
        </w:tc>
      </w:tr>
      <w:tr w14:paraId="3C67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CE0E">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w:t>
            </w:r>
          </w:p>
        </w:tc>
        <w:tc>
          <w:tcPr>
            <w:tcW w:w="5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AFBC">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UPS电源</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2156">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9915">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套</w:t>
            </w:r>
          </w:p>
        </w:tc>
      </w:tr>
      <w:tr w14:paraId="5408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D442">
            <w:pPr>
              <w:keepNext w:val="0"/>
              <w:keepLines w:val="0"/>
              <w:widowControl/>
              <w:suppressLineNumbers w:val="0"/>
              <w:jc w:val="center"/>
              <w:textAlignment w:val="center"/>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6</w:t>
            </w:r>
          </w:p>
        </w:tc>
        <w:tc>
          <w:tcPr>
            <w:tcW w:w="5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1A09">
            <w:pPr>
              <w:keepNext w:val="0"/>
              <w:keepLines w:val="0"/>
              <w:widowControl/>
              <w:suppressLineNumbers w:val="0"/>
              <w:jc w:val="center"/>
              <w:textAlignment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专机专用耗材：</w:t>
            </w:r>
          </w:p>
          <w:tbl>
            <w:tblPr>
              <w:tblStyle w:val="18"/>
              <w:tblW w:w="4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740"/>
              <w:gridCol w:w="2864"/>
            </w:tblGrid>
            <w:tr w14:paraId="4A2D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2" w:type="dxa"/>
                  <w:vAlign w:val="center"/>
                </w:tcPr>
                <w:p w14:paraId="351FE6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Style w:val="55"/>
                      <w:rFonts w:hint="eastAsia" w:ascii="宋体" w:hAnsi="宋体" w:eastAsia="宋体" w:cs="宋体"/>
                      <w:color w:val="auto"/>
                      <w:highlight w:val="none"/>
                      <w:lang w:val="en-US" w:eastAsia="zh-CN" w:bidi="ar"/>
                    </w:rPr>
                    <w:t>类别</w:t>
                  </w:r>
                </w:p>
              </w:tc>
              <w:tc>
                <w:tcPr>
                  <w:tcW w:w="740" w:type="dxa"/>
                  <w:vAlign w:val="center"/>
                </w:tcPr>
                <w:p w14:paraId="2851737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Style w:val="55"/>
                      <w:rFonts w:hint="eastAsia" w:ascii="宋体" w:hAnsi="宋体" w:eastAsia="宋体" w:cs="宋体"/>
                      <w:color w:val="auto"/>
                      <w:highlight w:val="none"/>
                      <w:lang w:val="en-US" w:eastAsia="zh-CN" w:bidi="ar"/>
                    </w:rPr>
                    <w:t>序号</w:t>
                  </w:r>
                </w:p>
              </w:tc>
              <w:tc>
                <w:tcPr>
                  <w:tcW w:w="2864" w:type="dxa"/>
                  <w:vAlign w:val="center"/>
                </w:tcPr>
                <w:p w14:paraId="534F5CA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Style w:val="55"/>
                      <w:rFonts w:hint="eastAsia" w:ascii="宋体" w:hAnsi="宋体" w:eastAsia="宋体" w:cs="宋体"/>
                      <w:color w:val="auto"/>
                      <w:highlight w:val="none"/>
                      <w:lang w:val="en-US" w:eastAsia="zh-CN" w:bidi="ar"/>
                    </w:rPr>
                    <w:t>项目名称</w:t>
                  </w:r>
                </w:p>
              </w:tc>
            </w:tr>
            <w:tr w14:paraId="1DCE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Merge w:val="restart"/>
                  <w:vAlign w:val="center"/>
                </w:tcPr>
                <w:p w14:paraId="641953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微生物试剂</w:t>
                  </w:r>
                </w:p>
              </w:tc>
              <w:tc>
                <w:tcPr>
                  <w:tcW w:w="740" w:type="dxa"/>
                  <w:vAlign w:val="center"/>
                </w:tcPr>
                <w:p w14:paraId="5365D90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2864" w:type="dxa"/>
                  <w:vAlign w:val="center"/>
                </w:tcPr>
                <w:p w14:paraId="1071790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质谱系统微生物样本预处理试剂盒</w:t>
                  </w:r>
                </w:p>
              </w:tc>
            </w:tr>
            <w:tr w14:paraId="6B3B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Merge w:val="continue"/>
                  <w:vAlign w:val="center"/>
                </w:tcPr>
                <w:p w14:paraId="780E821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p>
              </w:tc>
              <w:tc>
                <w:tcPr>
                  <w:tcW w:w="740" w:type="dxa"/>
                  <w:vAlign w:val="center"/>
                </w:tcPr>
                <w:p w14:paraId="2529232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2864" w:type="dxa"/>
                  <w:vAlign w:val="center"/>
                </w:tcPr>
                <w:p w14:paraId="0DD1272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质谱系统样本处理基质溶液</w:t>
                  </w:r>
                </w:p>
              </w:tc>
            </w:tr>
            <w:tr w14:paraId="06E1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Merge w:val="continue"/>
                  <w:vAlign w:val="center"/>
                </w:tcPr>
                <w:p w14:paraId="5C79F82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p>
              </w:tc>
              <w:tc>
                <w:tcPr>
                  <w:tcW w:w="740" w:type="dxa"/>
                  <w:vAlign w:val="center"/>
                </w:tcPr>
                <w:p w14:paraId="5DEE1EA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2864" w:type="dxa"/>
                  <w:vAlign w:val="center"/>
                </w:tcPr>
                <w:p w14:paraId="7797919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质谱系统霉菌样本预处理试剂盒</w:t>
                  </w:r>
                </w:p>
              </w:tc>
            </w:tr>
            <w:tr w14:paraId="2CA3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Merge w:val="continue"/>
                  <w:vAlign w:val="center"/>
                </w:tcPr>
                <w:p w14:paraId="753010E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p>
              </w:tc>
              <w:tc>
                <w:tcPr>
                  <w:tcW w:w="740" w:type="dxa"/>
                  <w:vAlign w:val="center"/>
                </w:tcPr>
                <w:p w14:paraId="223A419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2864" w:type="dxa"/>
                  <w:vAlign w:val="center"/>
                </w:tcPr>
                <w:p w14:paraId="1CD92EF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质谱系统血培养阳性样本预处理试剂盒</w:t>
                  </w:r>
                </w:p>
              </w:tc>
            </w:tr>
            <w:tr w14:paraId="2A86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Merge w:val="continue"/>
                  <w:vAlign w:val="center"/>
                </w:tcPr>
                <w:p w14:paraId="6E03842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p>
              </w:tc>
              <w:tc>
                <w:tcPr>
                  <w:tcW w:w="740" w:type="dxa"/>
                  <w:vAlign w:val="center"/>
                </w:tcPr>
                <w:p w14:paraId="2F8DD1D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w:t>
                  </w:r>
                </w:p>
              </w:tc>
              <w:tc>
                <w:tcPr>
                  <w:tcW w:w="2864" w:type="dxa"/>
                  <w:vAlign w:val="center"/>
                </w:tcPr>
                <w:p w14:paraId="576731B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质谱系统样本预处理溶液</w:t>
                  </w:r>
                </w:p>
              </w:tc>
            </w:tr>
            <w:tr w14:paraId="5513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Merge w:val="restart"/>
                  <w:vAlign w:val="center"/>
                </w:tcPr>
                <w:p w14:paraId="35DCE55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核酸质谱试剂</w:t>
                  </w:r>
                </w:p>
              </w:tc>
              <w:tc>
                <w:tcPr>
                  <w:tcW w:w="740" w:type="dxa"/>
                  <w:vAlign w:val="center"/>
                </w:tcPr>
                <w:p w14:paraId="4A6A2D02">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w:t>
                  </w:r>
                </w:p>
              </w:tc>
              <w:tc>
                <w:tcPr>
                  <w:tcW w:w="2864" w:type="dxa"/>
                  <w:vAlign w:val="center"/>
                </w:tcPr>
                <w:p w14:paraId="5738133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样本核酸纯化试剂(飞行时间质谱法)</w:t>
                  </w:r>
                </w:p>
              </w:tc>
            </w:tr>
            <w:tr w14:paraId="19DE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Merge w:val="continue"/>
                  <w:vAlign w:val="center"/>
                </w:tcPr>
                <w:p w14:paraId="3760DC4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p>
              </w:tc>
              <w:tc>
                <w:tcPr>
                  <w:tcW w:w="740" w:type="dxa"/>
                  <w:vAlign w:val="center"/>
                </w:tcPr>
                <w:p w14:paraId="561DF3D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p>
              </w:tc>
              <w:tc>
                <w:tcPr>
                  <w:tcW w:w="2864" w:type="dxa"/>
                  <w:vAlign w:val="center"/>
                </w:tcPr>
                <w:p w14:paraId="14B8532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飞行时间质谱系统用校准品</w:t>
                  </w:r>
                </w:p>
              </w:tc>
            </w:tr>
            <w:tr w14:paraId="7723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Merge w:val="continue"/>
                  <w:vAlign w:val="center"/>
                </w:tcPr>
                <w:p w14:paraId="26ED990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p>
              </w:tc>
              <w:tc>
                <w:tcPr>
                  <w:tcW w:w="740" w:type="dxa"/>
                  <w:vAlign w:val="center"/>
                </w:tcPr>
                <w:p w14:paraId="7DC648D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w:t>
                  </w:r>
                </w:p>
              </w:tc>
              <w:tc>
                <w:tcPr>
                  <w:tcW w:w="2864" w:type="dxa"/>
                  <w:vAlign w:val="center"/>
                </w:tcPr>
                <w:p w14:paraId="07361A8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飞行时间质谱系统核酸样本预处理试剂</w:t>
                  </w:r>
                </w:p>
              </w:tc>
            </w:tr>
          </w:tbl>
          <w:p w14:paraId="6447873B">
            <w:pPr>
              <w:keepNext w:val="0"/>
              <w:keepLines w:val="0"/>
              <w:widowControl/>
              <w:suppressLineNumbers w:val="0"/>
              <w:jc w:val="both"/>
              <w:textAlignment w:val="center"/>
              <w:rPr>
                <w:rFonts w:hint="eastAsia" w:ascii="宋体" w:hAnsi="宋体" w:eastAsia="宋体" w:cs="宋体"/>
                <w:b w:val="0"/>
                <w:bCs/>
                <w:color w:val="auto"/>
                <w:kern w:val="2"/>
                <w:sz w:val="24"/>
                <w:szCs w:val="24"/>
                <w:highlight w:val="none"/>
                <w:lang w:val="en-US" w:eastAsia="zh-CN" w:bidi="ar-SA"/>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78FE">
            <w:pPr>
              <w:keepNext w:val="0"/>
              <w:keepLines w:val="0"/>
              <w:widowControl/>
              <w:suppressLineNumbers w:val="0"/>
              <w:jc w:val="center"/>
              <w:textAlignment w:val="center"/>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w:t>
            </w:r>
          </w:p>
        </w:tc>
        <w:tc>
          <w:tcPr>
            <w:tcW w:w="1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350E">
            <w:pPr>
              <w:keepNext w:val="0"/>
              <w:keepLines w:val="0"/>
              <w:widowControl/>
              <w:suppressLineNumbers w:val="0"/>
              <w:jc w:val="center"/>
              <w:textAlignment w:val="center"/>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w:t>
            </w:r>
          </w:p>
        </w:tc>
      </w:tr>
    </w:tbl>
    <w:p w14:paraId="33A1EE41">
      <w:pPr>
        <w:pStyle w:val="46"/>
        <w:numPr>
          <w:ilvl w:val="0"/>
          <w:numId w:val="1"/>
        </w:numPr>
        <w:spacing w:beforeLines="100" w:afterLines="100"/>
        <w:ind w:left="0" w:firstLine="0" w:firstLineChars="0"/>
        <w:rPr>
          <w:rFonts w:ascii="宋体" w:hAnsi="宋体" w:eastAsia="宋体"/>
          <w:b/>
          <w:color w:val="auto"/>
          <w:sz w:val="28"/>
          <w:szCs w:val="28"/>
          <w:highlight w:val="none"/>
        </w:rPr>
      </w:pPr>
      <w:r>
        <w:rPr>
          <w:rFonts w:hint="eastAsia" w:ascii="宋体" w:hAnsi="宋体" w:eastAsia="宋体"/>
          <w:b/>
          <w:color w:val="auto"/>
          <w:sz w:val="28"/>
          <w:szCs w:val="28"/>
          <w:highlight w:val="none"/>
        </w:rPr>
        <w:t>技术参数响应说明</w:t>
      </w:r>
    </w:p>
    <w:p w14:paraId="67195685">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3.1.技术参数要求中载明选配、按需配置的，实际供货时中标人需按医院要求配置，但中标价格不再调整。技术参数要求中载明的耗材，如若中标，实际供货时中标人需按医院要求提供，医院将按其所报耗材的单价按需进行采购。</w:t>
      </w:r>
    </w:p>
    <w:p w14:paraId="58F77703">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3.2.佐证材料要求（原件备查）：</w:t>
      </w:r>
    </w:p>
    <w:p w14:paraId="40026DFC">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3.2.1.投标人对所有技术参数要求均需提供佐证材料，否则视为不满足。</w:t>
      </w:r>
    </w:p>
    <w:p w14:paraId="071C6AB9">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3.2.2.技术参数要求条款中有明确佐证材料要求的，按其要求提供。</w:t>
      </w:r>
    </w:p>
    <w:p w14:paraId="761BC004">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3.2.3.技术参数要求条款中没有明确佐证材料要求的，投标人可提供以下任意一种佐证材料：</w:t>
      </w:r>
    </w:p>
    <w:p w14:paraId="79EC14DC">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3.2.3.1.提供国家认可的第三方检验（检测）机构出具的检验（检测）报告原件扫描件佐证（报告需加盖机构公章或检验检测专用章，并标注资质认定标志CMA或CNAS）。</w:t>
      </w:r>
    </w:p>
    <w:p w14:paraId="29E53FF3">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3.2.3.2.提供制造商公布（出具）的产品说明书原件或技术白皮书原件扫描件。</w:t>
      </w:r>
    </w:p>
    <w:p w14:paraId="439DA875">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3.2.3.3.提供制造商公布（出具）的产品彩页原件扫描件。</w:t>
      </w:r>
    </w:p>
    <w:p w14:paraId="51DFF42B">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3.2.3.4.提供我国政府部门（机构）出具的相关材料原件扫描件（如产品核准证书等）。</w:t>
      </w:r>
    </w:p>
    <w:p w14:paraId="4C03CFDB">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3.2.4.投标人提供的佐证材料应完整（如检测报告、技术白皮书、产品说明书及彩页等应提供整份完整的检测报告），不得仅提供材料中的部分内容。且材料的尺寸和清晰度应该能够清晰的在电脑上被阅读、识别和判断，否则将承担不利的评审后果。</w:t>
      </w:r>
    </w:p>
    <w:p w14:paraId="5ADB8236">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3.2.5.若投标人提供的材料属于非中文描述的，还应按第三章第10.3（2）条要求提供中文译本，否则不予认可。</w:t>
      </w:r>
    </w:p>
    <w:p w14:paraId="5EB736A9">
      <w:pPr>
        <w:pStyle w:val="46"/>
        <w:numPr>
          <w:ilvl w:val="0"/>
          <w:numId w:val="1"/>
        </w:numPr>
        <w:spacing w:beforeLines="100" w:afterLines="100"/>
        <w:ind w:left="0" w:firstLine="0" w:firstLineChars="0"/>
        <w:rPr>
          <w:rFonts w:ascii="宋体" w:hAnsi="宋体" w:eastAsia="宋体"/>
          <w:b/>
          <w:color w:val="auto"/>
          <w:sz w:val="28"/>
          <w:szCs w:val="28"/>
          <w:highlight w:val="none"/>
        </w:rPr>
      </w:pPr>
      <w:r>
        <w:rPr>
          <w:rFonts w:hint="eastAsia" w:ascii="宋体" w:hAnsi="宋体" w:eastAsia="宋体"/>
          <w:b/>
          <w:color w:val="auto"/>
          <w:sz w:val="28"/>
          <w:szCs w:val="28"/>
          <w:highlight w:val="none"/>
        </w:rPr>
        <w:t>投标响应要求</w:t>
      </w:r>
    </w:p>
    <w:p w14:paraId="43853CEB">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4.1.投标人在投标文件中应明确投标货物的品牌、制造商、型号、规格、技术参数、数量等信息，并在报价部分明确各项货物的报价。</w:t>
      </w:r>
    </w:p>
    <w:p w14:paraId="66D8A78D">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4.2.本章的要求为基本要求，评分条款若有对优于本章要求进行加分的，投标人符合要求并提供相应证明材料的可获加分，具体详见评分条款。</w:t>
      </w:r>
    </w:p>
    <w:p w14:paraId="3C2CB751">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4.3.投标人除根据本章技术参数要求提供相应技术响应及佐证材料外，还应根据技术项评分条款的要求提供相应的技术参数佐证材料，未按要求提供的将可能导致不得分。</w:t>
      </w:r>
    </w:p>
    <w:p w14:paraId="5C7D2780">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4.4.投标人应根据技术项评分条款的要求提供相应的方案，如实施方案、供货方案、安装调试方案等。</w:t>
      </w:r>
    </w:p>
    <w:p w14:paraId="21A9EF9A">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4.5.投标人应根据技术要求和评分条款的要求明确中标后投入本项目的管理人员、技术人员、服务人员等信息，并提供相应的佐证材料，未按要求提供的将可能导致不得分。</w:t>
      </w:r>
    </w:p>
    <w:p w14:paraId="0543A9D4">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4.6.投标人中标后不得将本项目转包，否则分签单位有权终止合同并追究中标人的违约责任。</w:t>
      </w:r>
    </w:p>
    <w:p w14:paraId="21F79809">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4.7.投标人提供的采购标的应符合国家知识产权法律、法规的规定且非假冒伪劣品；投标人中标后需保证分签单位不受到第三方关于侵犯知识产权及专利权、商标权或工业设计权等知识产权方面的指控，若任何第三方提出此方面指控均与分签单位无关，中标人应与第三方交涉，并承担可能发生的一切法律责任、费用和后果；若分签单位因此而遭致损失，则中标人应赔偿该损失。</w:t>
      </w:r>
    </w:p>
    <w:p w14:paraId="0E692C53">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4.8.投标人应明确所提供的货物及服务与采购需求存在的正负偏离情况。对照招标文件要求，在《技术和服务要求响应表》中逐条说明所提供的货物及服务对采购需求的响应情况。投标人若未对采购需求进行逐条响应，将可能导致不利的评审后果。</w:t>
      </w:r>
    </w:p>
    <w:p w14:paraId="17C52A05">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4.9.现场踏勘</w:t>
      </w:r>
    </w:p>
    <w:p w14:paraId="7EE3E341">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4.9.1.本项目不统一组织现场勘察，潜在投标人可根据需要自行到现场进行勘察。采购人向投标人提供的有关现场的资料和数据，是采购人现有的能被投标人使用的资料采购人对投标人做出的其他任何推论、理解和结论均不负责任，现场踏勘所发生的费用由投标人自己承担。投标人参加投标，视为知悉并充分了解本项目的有关相关风险。</w:t>
      </w:r>
    </w:p>
    <w:p w14:paraId="7DCEE9A5">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4.9.2.踏勘联系人及联系方式:</w:t>
      </w:r>
    </w:p>
    <w:p w14:paraId="45582D52">
      <w:pPr>
        <w:spacing w:line="360" w:lineRule="auto"/>
        <w:ind w:firstLine="480" w:firstLineChars="200"/>
        <w:jc w:val="left"/>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lang w:val="en-US" w:eastAsia="zh-CN"/>
        </w:rPr>
        <w:t>厦门大学附属第一医院：林工，联系方式：0592-2137383</w:t>
      </w:r>
    </w:p>
    <w:p w14:paraId="3C46BA97">
      <w:pPr>
        <w:rPr>
          <w:color w:val="auto"/>
          <w:highlight w:val="none"/>
        </w:rPr>
      </w:pPr>
    </w:p>
    <w:p w14:paraId="78187940">
      <w:pPr>
        <w:pStyle w:val="3"/>
        <w:spacing w:beforeLines="100" w:afterLines="100" w:line="240" w:lineRule="auto"/>
        <w:jc w:val="left"/>
        <w:rPr>
          <w:rFonts w:ascii="黑体" w:hAnsi="黑体" w:eastAsia="黑体" w:cs="Times New Roman"/>
          <w:color w:val="auto"/>
          <w:kern w:val="0"/>
          <w:sz w:val="30"/>
          <w:highlight w:val="none"/>
        </w:rPr>
      </w:pPr>
      <w:bookmarkStart w:id="21" w:name="_Toc139103800"/>
      <w:r>
        <w:rPr>
          <w:rFonts w:ascii="黑体" w:hAnsi="黑体" w:eastAsia="黑体" w:cs="Times New Roman"/>
          <w:color w:val="auto"/>
          <w:kern w:val="0"/>
          <w:sz w:val="30"/>
          <w:highlight w:val="none"/>
        </w:rPr>
        <w:t>三、商务要求</w:t>
      </w:r>
      <w:bookmarkEnd w:id="21"/>
    </w:p>
    <w:p w14:paraId="7056C689">
      <w:pPr>
        <w:rPr>
          <w:rFonts w:asciiTheme="minorEastAsia" w:hAnsiTheme="minorEastAsia"/>
          <w:color w:val="auto"/>
          <w:sz w:val="28"/>
          <w:szCs w:val="28"/>
          <w:highlight w:val="none"/>
        </w:rPr>
      </w:pPr>
      <w:r>
        <w:rPr>
          <w:rFonts w:asciiTheme="minorEastAsia" w:hAnsiTheme="minorEastAsia"/>
          <w:color w:val="auto"/>
          <w:sz w:val="28"/>
          <w:szCs w:val="28"/>
          <w:highlight w:val="none"/>
        </w:rPr>
        <w:t>（以“★”标示的内容为不允许负偏离的实质性要求）</w:t>
      </w:r>
    </w:p>
    <w:p w14:paraId="2C5CDB04">
      <w:pPr>
        <w:spacing w:line="360" w:lineRule="auto"/>
        <w:rPr>
          <w:rFonts w:asciiTheme="minorEastAsia" w:hAnsiTheme="minorEastAsia"/>
          <w:color w:val="auto"/>
          <w:sz w:val="24"/>
          <w:szCs w:val="28"/>
          <w:highlight w:val="none"/>
        </w:rPr>
      </w:pPr>
      <w:r>
        <w:rPr>
          <w:rFonts w:asciiTheme="minorEastAsia" w:hAnsiTheme="minorEastAsia"/>
          <w:color w:val="auto"/>
          <w:sz w:val="24"/>
          <w:szCs w:val="28"/>
          <w:highlight w:val="none"/>
        </w:rPr>
        <w:t>采购包1：</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3"/>
        <w:gridCol w:w="1276"/>
        <w:gridCol w:w="2390"/>
        <w:gridCol w:w="3989"/>
      </w:tblGrid>
      <w:tr w14:paraId="647EB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14:paraId="0B17FB7F">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序号</w:t>
            </w:r>
          </w:p>
        </w:tc>
        <w:tc>
          <w:tcPr>
            <w:tcW w:w="1276" w:type="dxa"/>
            <w:vAlign w:val="center"/>
          </w:tcPr>
          <w:p w14:paraId="7924E508">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参数性质</w:t>
            </w:r>
          </w:p>
        </w:tc>
        <w:tc>
          <w:tcPr>
            <w:tcW w:w="2390" w:type="dxa"/>
            <w:vAlign w:val="center"/>
          </w:tcPr>
          <w:p w14:paraId="5FE71426">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类型</w:t>
            </w:r>
          </w:p>
        </w:tc>
        <w:tc>
          <w:tcPr>
            <w:tcW w:w="3989" w:type="dxa"/>
            <w:vAlign w:val="center"/>
          </w:tcPr>
          <w:p w14:paraId="76E9A37A">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要求</w:t>
            </w:r>
          </w:p>
        </w:tc>
      </w:tr>
      <w:tr w14:paraId="34B6E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14:paraId="730DE3CC">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p>
        </w:tc>
        <w:tc>
          <w:tcPr>
            <w:tcW w:w="1276" w:type="dxa"/>
            <w:vAlign w:val="center"/>
          </w:tcPr>
          <w:p w14:paraId="329E6934">
            <w:pPr>
              <w:spacing w:line="360" w:lineRule="auto"/>
              <w:jc w:val="center"/>
              <w:rPr>
                <w:rFonts w:ascii="宋体" w:hAnsi="宋体" w:eastAsia="宋体" w:cs="Times New Roman"/>
                <w:color w:val="auto"/>
                <w:sz w:val="24"/>
                <w:szCs w:val="24"/>
                <w:highlight w:val="none"/>
              </w:rPr>
            </w:pPr>
          </w:p>
        </w:tc>
        <w:tc>
          <w:tcPr>
            <w:tcW w:w="2390" w:type="dxa"/>
            <w:vAlign w:val="center"/>
          </w:tcPr>
          <w:p w14:paraId="7B1B0B47">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交货时间</w:t>
            </w:r>
          </w:p>
        </w:tc>
        <w:tc>
          <w:tcPr>
            <w:tcW w:w="3989" w:type="dxa"/>
            <w:vAlign w:val="center"/>
          </w:tcPr>
          <w:p w14:paraId="4C2B8C59">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Hans"/>
              </w:rPr>
              <w:t>自医院发出供货通知后30个日历日内交货</w:t>
            </w:r>
          </w:p>
        </w:tc>
      </w:tr>
      <w:tr w14:paraId="69E66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14:paraId="17BAD4EC">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p>
        </w:tc>
        <w:tc>
          <w:tcPr>
            <w:tcW w:w="1276" w:type="dxa"/>
            <w:vAlign w:val="center"/>
          </w:tcPr>
          <w:p w14:paraId="32BD9C7D">
            <w:pPr>
              <w:spacing w:line="360" w:lineRule="auto"/>
              <w:jc w:val="center"/>
              <w:rPr>
                <w:rFonts w:ascii="宋体" w:hAnsi="宋体" w:eastAsia="宋体" w:cs="Times New Roman"/>
                <w:color w:val="auto"/>
                <w:sz w:val="24"/>
                <w:szCs w:val="24"/>
                <w:highlight w:val="none"/>
              </w:rPr>
            </w:pPr>
          </w:p>
        </w:tc>
        <w:tc>
          <w:tcPr>
            <w:tcW w:w="2390" w:type="dxa"/>
            <w:vAlign w:val="center"/>
          </w:tcPr>
          <w:p w14:paraId="4B31A12B">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交货地点</w:t>
            </w:r>
          </w:p>
        </w:tc>
        <w:tc>
          <w:tcPr>
            <w:tcW w:w="3989" w:type="dxa"/>
            <w:vAlign w:val="center"/>
          </w:tcPr>
          <w:p w14:paraId="00955413">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厦门大学附属第一医院</w:t>
            </w:r>
            <w:r>
              <w:rPr>
                <w:rFonts w:hint="eastAsia" w:ascii="宋体" w:hAnsi="宋体" w:eastAsia="宋体" w:cs="Times New Roman"/>
                <w:color w:val="auto"/>
                <w:sz w:val="24"/>
                <w:szCs w:val="24"/>
                <w:highlight w:val="none"/>
                <w:lang w:eastAsia="zh-CN"/>
              </w:rPr>
              <w:t>（厦门市思明区镇海路55号）</w:t>
            </w:r>
          </w:p>
        </w:tc>
      </w:tr>
      <w:tr w14:paraId="615A0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14:paraId="1312886F">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p>
        </w:tc>
        <w:tc>
          <w:tcPr>
            <w:tcW w:w="1276" w:type="dxa"/>
            <w:vAlign w:val="center"/>
          </w:tcPr>
          <w:p w14:paraId="6BAD44BC">
            <w:pPr>
              <w:spacing w:line="360" w:lineRule="auto"/>
              <w:jc w:val="center"/>
              <w:rPr>
                <w:rFonts w:ascii="宋体" w:hAnsi="宋体" w:eastAsia="宋体" w:cs="Times New Roman"/>
                <w:color w:val="auto"/>
                <w:sz w:val="24"/>
                <w:szCs w:val="24"/>
                <w:highlight w:val="none"/>
              </w:rPr>
            </w:pPr>
          </w:p>
        </w:tc>
        <w:tc>
          <w:tcPr>
            <w:tcW w:w="2390" w:type="dxa"/>
            <w:vAlign w:val="center"/>
          </w:tcPr>
          <w:p w14:paraId="1E0B6275">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交货条件</w:t>
            </w:r>
          </w:p>
        </w:tc>
        <w:tc>
          <w:tcPr>
            <w:tcW w:w="3989" w:type="dxa"/>
            <w:vAlign w:val="top"/>
          </w:tcPr>
          <w:p w14:paraId="07033B25">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通过最终验收合格</w:t>
            </w:r>
          </w:p>
        </w:tc>
      </w:tr>
      <w:tr w14:paraId="1667B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14:paraId="669D05D6">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4</w:t>
            </w:r>
          </w:p>
        </w:tc>
        <w:tc>
          <w:tcPr>
            <w:tcW w:w="1276" w:type="dxa"/>
            <w:vAlign w:val="center"/>
          </w:tcPr>
          <w:p w14:paraId="5FD0375F">
            <w:pPr>
              <w:spacing w:line="360" w:lineRule="auto"/>
              <w:jc w:val="center"/>
              <w:rPr>
                <w:rFonts w:ascii="宋体" w:hAnsi="宋体" w:eastAsia="宋体" w:cs="Times New Roman"/>
                <w:color w:val="auto"/>
                <w:sz w:val="24"/>
                <w:szCs w:val="24"/>
                <w:highlight w:val="none"/>
              </w:rPr>
            </w:pPr>
          </w:p>
        </w:tc>
        <w:tc>
          <w:tcPr>
            <w:tcW w:w="2390" w:type="dxa"/>
            <w:vAlign w:val="center"/>
          </w:tcPr>
          <w:p w14:paraId="0C4C23BC">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是否邀请投标人验收</w:t>
            </w:r>
          </w:p>
        </w:tc>
        <w:tc>
          <w:tcPr>
            <w:tcW w:w="3989" w:type="dxa"/>
            <w:vAlign w:val="center"/>
          </w:tcPr>
          <w:p w14:paraId="67DE59C2">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不邀请</w:t>
            </w:r>
          </w:p>
        </w:tc>
      </w:tr>
      <w:tr w14:paraId="5F0A3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14:paraId="47B367BA">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w:t>
            </w:r>
          </w:p>
        </w:tc>
        <w:tc>
          <w:tcPr>
            <w:tcW w:w="1276" w:type="dxa"/>
            <w:vAlign w:val="center"/>
          </w:tcPr>
          <w:p w14:paraId="44C65D04">
            <w:pPr>
              <w:spacing w:line="360" w:lineRule="auto"/>
              <w:jc w:val="center"/>
              <w:rPr>
                <w:rFonts w:ascii="宋体" w:hAnsi="宋体" w:eastAsia="宋体" w:cs="Times New Roman"/>
                <w:color w:val="auto"/>
                <w:sz w:val="24"/>
                <w:szCs w:val="24"/>
                <w:highlight w:val="none"/>
              </w:rPr>
            </w:pPr>
          </w:p>
        </w:tc>
        <w:tc>
          <w:tcPr>
            <w:tcW w:w="2390" w:type="dxa"/>
            <w:vAlign w:val="center"/>
          </w:tcPr>
          <w:p w14:paraId="2F6EE554">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履约验收方式</w:t>
            </w:r>
          </w:p>
        </w:tc>
        <w:tc>
          <w:tcPr>
            <w:tcW w:w="3989" w:type="dxa"/>
            <w:vAlign w:val="center"/>
          </w:tcPr>
          <w:p w14:paraId="35DC68BF">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1、期次1，说明：【详见招标文件下文】</w:t>
            </w:r>
          </w:p>
        </w:tc>
      </w:tr>
      <w:tr w14:paraId="6178E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14:paraId="10BD2413">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w:t>
            </w:r>
          </w:p>
        </w:tc>
        <w:tc>
          <w:tcPr>
            <w:tcW w:w="1276" w:type="dxa"/>
            <w:vAlign w:val="center"/>
          </w:tcPr>
          <w:p w14:paraId="232DEFE5">
            <w:pPr>
              <w:spacing w:line="360" w:lineRule="auto"/>
              <w:jc w:val="center"/>
              <w:rPr>
                <w:rFonts w:ascii="宋体" w:hAnsi="宋体" w:eastAsia="宋体" w:cs="Times New Roman"/>
                <w:color w:val="auto"/>
                <w:sz w:val="24"/>
                <w:szCs w:val="24"/>
                <w:highlight w:val="none"/>
              </w:rPr>
            </w:pPr>
          </w:p>
        </w:tc>
        <w:tc>
          <w:tcPr>
            <w:tcW w:w="2390" w:type="dxa"/>
            <w:vAlign w:val="center"/>
          </w:tcPr>
          <w:p w14:paraId="4E24237A">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合同支付方式</w:t>
            </w:r>
          </w:p>
        </w:tc>
        <w:tc>
          <w:tcPr>
            <w:tcW w:w="3989" w:type="dxa"/>
            <w:vAlign w:val="center"/>
          </w:tcPr>
          <w:p w14:paraId="227E06F7">
            <w:pPr>
              <w:spacing w:line="360" w:lineRule="auto"/>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1、【中标人在合同签订后3日内提供全额发票，分签医院在收到履约保证金且合同全部货物最终验收合格并交付使用后】，达到付款条件起【7】日，支付合同总金额的【100】%。</w:t>
            </w:r>
          </w:p>
        </w:tc>
      </w:tr>
      <w:tr w14:paraId="2B712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93" w:type="dxa"/>
            <w:vAlign w:val="center"/>
          </w:tcPr>
          <w:p w14:paraId="52365873">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w:t>
            </w:r>
          </w:p>
        </w:tc>
        <w:tc>
          <w:tcPr>
            <w:tcW w:w="1276" w:type="dxa"/>
            <w:vAlign w:val="center"/>
          </w:tcPr>
          <w:p w14:paraId="0953370E">
            <w:pPr>
              <w:spacing w:line="360" w:lineRule="auto"/>
              <w:jc w:val="center"/>
              <w:rPr>
                <w:rFonts w:ascii="宋体" w:hAnsi="宋体" w:eastAsia="宋体" w:cs="Times New Roman"/>
                <w:color w:val="auto"/>
                <w:sz w:val="24"/>
                <w:szCs w:val="24"/>
                <w:highlight w:val="none"/>
              </w:rPr>
            </w:pPr>
          </w:p>
        </w:tc>
        <w:tc>
          <w:tcPr>
            <w:tcW w:w="2390" w:type="dxa"/>
            <w:vAlign w:val="center"/>
          </w:tcPr>
          <w:p w14:paraId="41412854">
            <w:pPr>
              <w:spacing w:line="36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其他</w:t>
            </w:r>
          </w:p>
        </w:tc>
        <w:tc>
          <w:tcPr>
            <w:tcW w:w="3989" w:type="dxa"/>
            <w:vAlign w:val="center"/>
          </w:tcPr>
          <w:p w14:paraId="3AF14BF8">
            <w:pPr>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关于投标保证金（须于投标截止时间前提交以下材料）：（1）供应商为中小企业的，可按招标文件要求的投标保证金数额的50%提交投标保证金。供应商应另外单独提供一份纸质《中小企业声明函》（需另外单独密封），未提供的视为投标保证金不符合招标要求。（2）供应商通过保函提供投标保证金的，应提供金融机构出具的保函原件（需另外单独密封），未提供的视为投标保证金不符合招标要求。</w:t>
            </w:r>
          </w:p>
          <w:p w14:paraId="31D3563E">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2、因为系统限制编辑，本表中【是否邀请投标人验收】以此为准：分签单位可以视情况邀请参加本项目的其他投标人或者第三方专业机构及专家参与验收。</w:t>
            </w:r>
          </w:p>
        </w:tc>
      </w:tr>
    </w:tbl>
    <w:p w14:paraId="7D760D7F">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rPr>
        <w:t>履约保证金</w:t>
      </w:r>
    </w:p>
    <w:p w14:paraId="7B43A2ED">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rPr>
        <w:t>采购包1：缴纳</w:t>
      </w:r>
    </w:p>
    <w:p w14:paraId="40EA6CFA">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rPr>
        <w:t>本采购包履约保证金为合同金额的3%</w:t>
      </w:r>
    </w:p>
    <w:p w14:paraId="3F8EE5D8">
      <w:pPr>
        <w:spacing w:line="360" w:lineRule="auto"/>
        <w:ind w:firstLine="480" w:firstLineChars="200"/>
        <w:rPr>
          <w:rFonts w:asciiTheme="minorEastAsia" w:hAnsiTheme="minorEastAsia"/>
          <w:color w:val="auto"/>
          <w:sz w:val="24"/>
          <w:szCs w:val="28"/>
          <w:highlight w:val="none"/>
        </w:rPr>
      </w:pPr>
      <w:r>
        <w:rPr>
          <w:rFonts w:hint="eastAsia" w:asciiTheme="minorEastAsia" w:hAnsiTheme="minorEastAsia"/>
          <w:color w:val="auto"/>
          <w:sz w:val="24"/>
          <w:szCs w:val="28"/>
          <w:highlight w:val="none"/>
        </w:rPr>
        <w:t>说明：收取时间:合同签订时提交； 履约保证金退还时间:整机验收合格满3年且无合同纠纷，采购人在收到中标人提供的退还申请书后，一次性无息在5个工作日内向中标人退还履约保证金。 提交方式:中标人与分签单位自行协商提交履约保证金的方式，中小企业履约保证金减半收取。 不予退还的情形：中标人未按合同约定承担违约责任的，分签单位有权不予退还履约保证金。</w:t>
      </w:r>
    </w:p>
    <w:p w14:paraId="44EED589">
      <w:pPr>
        <w:spacing w:line="360" w:lineRule="auto"/>
        <w:ind w:firstLine="482" w:firstLineChars="200"/>
        <w:rPr>
          <w:rFonts w:asciiTheme="minorEastAsia" w:hAnsiTheme="minorEastAsia"/>
          <w:b/>
          <w:color w:val="auto"/>
          <w:sz w:val="24"/>
          <w:szCs w:val="28"/>
          <w:highlight w:val="none"/>
        </w:rPr>
      </w:pPr>
      <w:r>
        <w:rPr>
          <w:rFonts w:asciiTheme="minorEastAsia" w:hAnsiTheme="minorEastAsia"/>
          <w:b/>
          <w:color w:val="auto"/>
          <w:sz w:val="24"/>
          <w:szCs w:val="28"/>
          <w:highlight w:val="none"/>
        </w:rPr>
        <w:t>其他商务要求</w:t>
      </w:r>
    </w:p>
    <w:p w14:paraId="13035452">
      <w:pPr>
        <w:spacing w:line="360" w:lineRule="auto"/>
        <w:ind w:firstLine="482" w:firstLineChars="200"/>
        <w:jc w:val="left"/>
        <w:rPr>
          <w:rFonts w:cs="宋体" w:asciiTheme="minorEastAsia" w:hAnsiTheme="minorEastAsia"/>
          <w:b/>
          <w:bCs/>
          <w:color w:val="auto"/>
          <w:kern w:val="0"/>
          <w:sz w:val="24"/>
          <w:szCs w:val="24"/>
          <w:highlight w:val="none"/>
        </w:rPr>
      </w:pPr>
      <w:r>
        <w:rPr>
          <w:rFonts w:hint="eastAsia" w:cs="宋体" w:asciiTheme="minorEastAsia" w:hAnsiTheme="minorEastAsia"/>
          <w:b/>
          <w:bCs/>
          <w:color w:val="auto"/>
          <w:kern w:val="0"/>
          <w:sz w:val="24"/>
          <w:szCs w:val="24"/>
          <w:highlight w:val="none"/>
        </w:rPr>
        <w:t>8、履约验收方式（采购包1）</w:t>
      </w:r>
    </w:p>
    <w:p w14:paraId="79A84966">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lang w:val="en-US" w:eastAsia="zh-CN"/>
        </w:rPr>
        <w:t>8</w:t>
      </w:r>
      <w:r>
        <w:rPr>
          <w:rFonts w:hint="eastAsia" w:asciiTheme="minorEastAsia" w:hAnsiTheme="minorEastAsia"/>
          <w:color w:val="auto"/>
          <w:sz w:val="24"/>
          <w:szCs w:val="28"/>
          <w:highlight w:val="none"/>
        </w:rPr>
        <w:t>.1履约验收主体：分签单位、中标人。同时分签单位可以视情况邀请参加本项目的其他投标人或者第三方专业机构及专家参与验收，相关验收意见作为验收的参考资料。</w:t>
      </w:r>
    </w:p>
    <w:p w14:paraId="1E80861F">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lang w:val="en-US" w:eastAsia="zh-CN"/>
        </w:rPr>
        <w:t>8</w:t>
      </w:r>
      <w:r>
        <w:rPr>
          <w:rFonts w:hint="eastAsia" w:asciiTheme="minorEastAsia" w:hAnsiTheme="minorEastAsia"/>
          <w:color w:val="auto"/>
          <w:sz w:val="24"/>
          <w:szCs w:val="28"/>
          <w:highlight w:val="none"/>
        </w:rPr>
        <w:t>.2履约验收时间及程序：</w:t>
      </w:r>
    </w:p>
    <w:p w14:paraId="352D9954">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rPr>
        <w:t>（1）到货检验：货物运抵分签单位后，由分签单位及中标人共同开箱对照采购清单进行到货验收。</w:t>
      </w:r>
    </w:p>
    <w:p w14:paraId="417C1B97">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rPr>
        <w:t>（2）安装调试检验：中标人将设备安装、调试完成后，由分签单位组织验收人员对安装调试情况进行验收。</w:t>
      </w:r>
    </w:p>
    <w:p w14:paraId="53EDB6E6">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rPr>
        <w:t>（3）最终验收：由分签单位组织验收人员进行最终验收。</w:t>
      </w:r>
    </w:p>
    <w:p w14:paraId="63993D3B">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lang w:val="en-US" w:eastAsia="zh-CN"/>
        </w:rPr>
        <w:t>8</w:t>
      </w:r>
      <w:r>
        <w:rPr>
          <w:rFonts w:hint="eastAsia" w:asciiTheme="minorEastAsia" w:hAnsiTheme="minorEastAsia"/>
          <w:color w:val="auto"/>
          <w:sz w:val="24"/>
          <w:szCs w:val="28"/>
          <w:highlight w:val="none"/>
        </w:rPr>
        <w:t>.3履约验收内容</w:t>
      </w:r>
    </w:p>
    <w:p w14:paraId="55956605">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rPr>
        <w:t>验收内容包括招标文件中的每一项技术和商务要求的履约情况。</w:t>
      </w:r>
    </w:p>
    <w:p w14:paraId="16E2F00C">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lang w:val="en-US" w:eastAsia="zh-CN"/>
        </w:rPr>
        <w:t>8</w:t>
      </w:r>
      <w:r>
        <w:rPr>
          <w:rFonts w:hint="eastAsia" w:asciiTheme="minorEastAsia" w:hAnsiTheme="minorEastAsia"/>
          <w:color w:val="auto"/>
          <w:sz w:val="24"/>
          <w:szCs w:val="28"/>
          <w:highlight w:val="none"/>
        </w:rPr>
        <w:t>.4履约验收验收标准</w:t>
      </w:r>
    </w:p>
    <w:p w14:paraId="7FDF89CD">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rPr>
        <w:t>招标文件、中标人的投标文件、合同及国家有关的质量标准规定，均为验收标准及依据。</w:t>
      </w:r>
    </w:p>
    <w:p w14:paraId="635024EB">
      <w:pPr>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9、售后服务要求</w:t>
      </w:r>
    </w:p>
    <w:p w14:paraId="22180876">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lang w:val="en-US" w:eastAsia="zh-CN"/>
        </w:rPr>
        <w:t>9</w:t>
      </w:r>
      <w:r>
        <w:rPr>
          <w:rFonts w:hint="eastAsia" w:asciiTheme="minorEastAsia" w:hAnsiTheme="minorEastAsia"/>
          <w:color w:val="auto"/>
          <w:sz w:val="24"/>
          <w:szCs w:val="28"/>
          <w:highlight w:val="none"/>
        </w:rPr>
        <w:t>.1投标人应按照本采购项目特点提供长期良好的售后服务，并在投标文件中提供详细具体的售后服务承诺条款及保证。</w:t>
      </w:r>
    </w:p>
    <w:p w14:paraId="3FFF7540">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lang w:val="en-US" w:eastAsia="zh-CN"/>
        </w:rPr>
        <w:t>9</w:t>
      </w:r>
      <w:r>
        <w:rPr>
          <w:rFonts w:hint="eastAsia" w:asciiTheme="minorEastAsia" w:hAnsiTheme="minorEastAsia"/>
          <w:color w:val="auto"/>
          <w:sz w:val="24"/>
          <w:szCs w:val="28"/>
          <w:highlight w:val="none"/>
        </w:rPr>
        <w:t>.2投标人必须负责设备安装到位，包括与该设备相关的实地勘测、装修、运输、装卸、安装、调试等费用（均包括材料和人工费）。本项目为交钥匙项目，安装完成后即可投入使用。以上所需费用包含在投标总价中。</w:t>
      </w:r>
    </w:p>
    <w:p w14:paraId="55AD9276">
      <w:pPr>
        <w:spacing w:line="360" w:lineRule="auto"/>
        <w:ind w:firstLine="482" w:firstLineChars="200"/>
        <w:rPr>
          <w:rFonts w:hint="eastAsia" w:asciiTheme="minorEastAsia" w:hAnsiTheme="minorEastAsia"/>
          <w:b/>
          <w:bCs/>
          <w:color w:val="auto"/>
          <w:sz w:val="24"/>
          <w:szCs w:val="28"/>
          <w:highlight w:val="none"/>
        </w:rPr>
      </w:pPr>
      <w:r>
        <w:rPr>
          <w:rFonts w:hint="eastAsia" w:asciiTheme="minorEastAsia" w:hAnsiTheme="minorEastAsia"/>
          <w:b/>
          <w:bCs/>
          <w:color w:val="auto"/>
          <w:sz w:val="24"/>
          <w:szCs w:val="28"/>
          <w:highlight w:val="none"/>
        </w:rPr>
        <w:t>★</w:t>
      </w:r>
      <w:r>
        <w:rPr>
          <w:rFonts w:hint="eastAsia" w:asciiTheme="minorEastAsia" w:hAnsiTheme="minorEastAsia"/>
          <w:b/>
          <w:bCs/>
          <w:color w:val="auto"/>
          <w:sz w:val="24"/>
          <w:szCs w:val="28"/>
          <w:highlight w:val="none"/>
          <w:lang w:val="en-US" w:eastAsia="zh-CN"/>
        </w:rPr>
        <w:t>9</w:t>
      </w:r>
      <w:r>
        <w:rPr>
          <w:rFonts w:hint="eastAsia" w:asciiTheme="minorEastAsia" w:hAnsiTheme="minorEastAsia"/>
          <w:b/>
          <w:bCs/>
          <w:color w:val="auto"/>
          <w:sz w:val="24"/>
          <w:szCs w:val="28"/>
          <w:highlight w:val="none"/>
        </w:rPr>
        <w:t>.3保修期：本项目自验收合格之日起至少提供3年</w:t>
      </w:r>
      <w:r>
        <w:rPr>
          <w:rFonts w:hint="eastAsia" w:asciiTheme="minorEastAsia" w:hAnsiTheme="minorEastAsia"/>
          <w:b/>
          <w:bCs/>
          <w:color w:val="auto"/>
          <w:sz w:val="24"/>
          <w:szCs w:val="28"/>
          <w:highlight w:val="none"/>
          <w:lang w:val="en-US" w:eastAsia="zh-CN"/>
        </w:rPr>
        <w:t>原厂</w:t>
      </w:r>
      <w:r>
        <w:rPr>
          <w:rFonts w:hint="eastAsia" w:asciiTheme="minorEastAsia" w:hAnsiTheme="minorEastAsia"/>
          <w:b/>
          <w:bCs/>
          <w:color w:val="auto"/>
          <w:sz w:val="24"/>
          <w:szCs w:val="28"/>
          <w:highlight w:val="none"/>
        </w:rPr>
        <w:t>保修。机器到货时间应在出厂日期180天以内。保修期间中标人应提供一切维修服务和更换零配件。设备保修期内，中标人需提供来自原厂每年至少2次的设备技术安全巡检保养并提供年度巡检保养报告给分签医院存档。并每年出具一份正式校准报告。以上保修期内所需的费用均包含在投标总价中，分签医院不再另行付费。对以上要求投标人需提供承诺函，否则投标无效。</w:t>
      </w:r>
    </w:p>
    <w:p w14:paraId="456B6165">
      <w:pPr>
        <w:spacing w:line="360" w:lineRule="auto"/>
        <w:ind w:firstLine="482" w:firstLineChars="200"/>
        <w:rPr>
          <w:rFonts w:hint="eastAsia" w:asciiTheme="minorEastAsia" w:hAnsiTheme="minorEastAsia"/>
          <w:b/>
          <w:bCs/>
          <w:color w:val="auto"/>
          <w:sz w:val="24"/>
          <w:szCs w:val="28"/>
          <w:highlight w:val="none"/>
          <w:lang w:val="en-US" w:eastAsia="zh-CN"/>
        </w:rPr>
      </w:pPr>
      <w:r>
        <w:rPr>
          <w:rFonts w:hint="eastAsia" w:asciiTheme="minorEastAsia" w:hAnsiTheme="minorEastAsia"/>
          <w:b/>
          <w:bCs/>
          <w:color w:val="auto"/>
          <w:sz w:val="24"/>
          <w:szCs w:val="28"/>
          <w:highlight w:val="none"/>
        </w:rPr>
        <w:t>★</w:t>
      </w:r>
      <w:r>
        <w:rPr>
          <w:rFonts w:hint="eastAsia" w:asciiTheme="minorEastAsia" w:hAnsiTheme="minorEastAsia"/>
          <w:b/>
          <w:bCs/>
          <w:color w:val="auto"/>
          <w:sz w:val="24"/>
          <w:szCs w:val="28"/>
          <w:highlight w:val="none"/>
          <w:lang w:val="en-US" w:eastAsia="zh-CN"/>
        </w:rPr>
        <w:t>9.4在质保期保修期内，中标人应确保年开机率在95%（含）以上，若不能达到此开机率，将作以下处理：</w:t>
      </w:r>
    </w:p>
    <w:p w14:paraId="1EF97829">
      <w:pPr>
        <w:spacing w:line="360" w:lineRule="auto"/>
        <w:ind w:firstLine="482" w:firstLineChars="200"/>
        <w:rPr>
          <w:rFonts w:hint="eastAsia" w:asciiTheme="minorEastAsia" w:hAnsiTheme="minorEastAsia"/>
          <w:b/>
          <w:bCs/>
          <w:color w:val="auto"/>
          <w:sz w:val="24"/>
          <w:szCs w:val="28"/>
          <w:highlight w:val="none"/>
          <w:lang w:val="en-US" w:eastAsia="zh-CN"/>
        </w:rPr>
      </w:pPr>
      <w:r>
        <w:rPr>
          <w:rFonts w:hint="eastAsia" w:asciiTheme="minorEastAsia" w:hAnsiTheme="minorEastAsia"/>
          <w:b/>
          <w:bCs/>
          <w:color w:val="auto"/>
          <w:sz w:val="24"/>
          <w:szCs w:val="28"/>
          <w:highlight w:val="none"/>
          <w:lang w:val="en-US" w:eastAsia="zh-CN"/>
        </w:rPr>
        <w:t>（1）年开机率在90（含）-95%（不含）之间，延长质保期保修期1年；</w:t>
      </w:r>
    </w:p>
    <w:p w14:paraId="5F5C44B5">
      <w:pPr>
        <w:spacing w:line="360" w:lineRule="auto"/>
        <w:ind w:firstLine="482" w:firstLineChars="200"/>
        <w:rPr>
          <w:rFonts w:hint="eastAsia" w:asciiTheme="minorEastAsia" w:hAnsiTheme="minorEastAsia"/>
          <w:b/>
          <w:bCs/>
          <w:color w:val="auto"/>
          <w:sz w:val="24"/>
          <w:szCs w:val="28"/>
          <w:highlight w:val="none"/>
          <w:lang w:val="en-US" w:eastAsia="zh-CN"/>
        </w:rPr>
      </w:pPr>
      <w:r>
        <w:rPr>
          <w:rFonts w:hint="eastAsia" w:asciiTheme="minorEastAsia" w:hAnsiTheme="minorEastAsia"/>
          <w:b/>
          <w:bCs/>
          <w:color w:val="auto"/>
          <w:sz w:val="24"/>
          <w:szCs w:val="28"/>
          <w:highlight w:val="none"/>
          <w:lang w:val="en-US" w:eastAsia="zh-CN"/>
        </w:rPr>
        <w:t>（2）年开机率在85（含）-90%（不含）之间，延长质保期保修期2年；</w:t>
      </w:r>
    </w:p>
    <w:p w14:paraId="2F8406B5">
      <w:pPr>
        <w:spacing w:line="360" w:lineRule="auto"/>
        <w:ind w:firstLine="482" w:firstLineChars="200"/>
        <w:rPr>
          <w:rFonts w:hint="eastAsia" w:asciiTheme="minorEastAsia" w:hAnsiTheme="minorEastAsia"/>
          <w:b/>
          <w:bCs/>
          <w:color w:val="auto"/>
          <w:sz w:val="24"/>
          <w:szCs w:val="28"/>
          <w:highlight w:val="none"/>
          <w:lang w:val="en-US" w:eastAsia="zh-CN"/>
        </w:rPr>
      </w:pPr>
      <w:r>
        <w:rPr>
          <w:rFonts w:hint="eastAsia" w:asciiTheme="minorEastAsia" w:hAnsiTheme="minorEastAsia"/>
          <w:b/>
          <w:bCs/>
          <w:color w:val="auto"/>
          <w:sz w:val="24"/>
          <w:szCs w:val="28"/>
          <w:highlight w:val="none"/>
          <w:lang w:val="en-US" w:eastAsia="zh-CN"/>
        </w:rPr>
        <w:t>（3）年开机率低于85%（不含），中标人应无条件更换新机，并重新计算质保期保修期，以及赔偿医院的直接经济损失和间接经济损失。</w:t>
      </w:r>
    </w:p>
    <w:p w14:paraId="50DDCF2D">
      <w:pPr>
        <w:spacing w:line="360" w:lineRule="auto"/>
        <w:ind w:firstLine="482" w:firstLineChars="200"/>
        <w:rPr>
          <w:rFonts w:hint="eastAsia" w:asciiTheme="minorEastAsia" w:hAnsiTheme="minorEastAsia"/>
          <w:b/>
          <w:bCs/>
          <w:color w:val="auto"/>
          <w:sz w:val="24"/>
          <w:szCs w:val="28"/>
          <w:highlight w:val="none"/>
          <w:lang w:val="en-US" w:eastAsia="zh-CN"/>
        </w:rPr>
      </w:pPr>
      <w:r>
        <w:rPr>
          <w:rFonts w:hint="eastAsia" w:asciiTheme="minorEastAsia" w:hAnsiTheme="minorEastAsia"/>
          <w:b/>
          <w:bCs/>
          <w:color w:val="auto"/>
          <w:sz w:val="24"/>
          <w:szCs w:val="28"/>
          <w:highlight w:val="none"/>
          <w:lang w:val="en-US" w:eastAsia="zh-CN"/>
        </w:rPr>
        <w:t>注：年开机率=（365-停机天数）/365）。</w:t>
      </w:r>
    </w:p>
    <w:p w14:paraId="437B8A62">
      <w:pPr>
        <w:spacing w:line="360" w:lineRule="auto"/>
        <w:ind w:firstLine="482" w:firstLineChars="200"/>
        <w:rPr>
          <w:rFonts w:hint="eastAsia" w:asciiTheme="minorEastAsia" w:hAnsiTheme="minorEastAsia"/>
          <w:b/>
          <w:bCs/>
          <w:color w:val="auto"/>
          <w:sz w:val="24"/>
          <w:szCs w:val="28"/>
          <w:highlight w:val="none"/>
        </w:rPr>
      </w:pPr>
      <w:r>
        <w:rPr>
          <w:rFonts w:hint="eastAsia" w:asciiTheme="minorEastAsia" w:hAnsiTheme="minorEastAsia"/>
          <w:b/>
          <w:bCs/>
          <w:color w:val="auto"/>
          <w:sz w:val="24"/>
          <w:szCs w:val="28"/>
          <w:highlight w:val="none"/>
          <w:lang w:val="en-US" w:eastAsia="zh-CN"/>
        </w:rPr>
        <w:t>对以上要求投标人需提供承诺函，否则投标无效。</w:t>
      </w:r>
    </w:p>
    <w:p w14:paraId="69945A5E">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lang w:val="en-US" w:eastAsia="zh-CN"/>
        </w:rPr>
        <w:t>9</w:t>
      </w:r>
      <w:r>
        <w:rPr>
          <w:rFonts w:hint="eastAsia" w:asciiTheme="minorEastAsia" w:hAnsiTheme="minorEastAsia"/>
          <w:color w:val="auto"/>
          <w:sz w:val="24"/>
          <w:szCs w:val="28"/>
          <w:highlight w:val="none"/>
        </w:rPr>
        <w:t>.5保修期内若出现任何故障问题，中标人须在接到</w:t>
      </w:r>
      <w:r>
        <w:rPr>
          <w:rFonts w:hint="eastAsia" w:asciiTheme="minorEastAsia" w:hAnsiTheme="minorEastAsia"/>
          <w:color w:val="auto"/>
          <w:sz w:val="24"/>
          <w:szCs w:val="28"/>
          <w:highlight w:val="none"/>
          <w:lang w:eastAsia="zh-CN"/>
        </w:rPr>
        <w:t>分签单位</w:t>
      </w:r>
      <w:r>
        <w:rPr>
          <w:rFonts w:hint="eastAsia" w:asciiTheme="minorEastAsia" w:hAnsiTheme="minorEastAsia"/>
          <w:color w:val="auto"/>
          <w:sz w:val="24"/>
          <w:szCs w:val="28"/>
          <w:highlight w:val="none"/>
        </w:rPr>
        <w:t>通知后1小时内响应，12小时内维修人员到达现场；其中发生一切费用由中标人承担。</w:t>
      </w:r>
    </w:p>
    <w:p w14:paraId="08A36CAB">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lang w:val="en-US" w:eastAsia="zh-CN"/>
        </w:rPr>
        <w:t>9</w:t>
      </w:r>
      <w:r>
        <w:rPr>
          <w:rFonts w:hint="eastAsia" w:asciiTheme="minorEastAsia" w:hAnsiTheme="minorEastAsia"/>
          <w:color w:val="auto"/>
          <w:sz w:val="24"/>
          <w:szCs w:val="28"/>
          <w:highlight w:val="none"/>
        </w:rPr>
        <w:t>.6保修期满前1个月内中标人应就所有货物进行一次全面检查，并写出正式报告，如发现潜在问题，应负责排除。如出现质量问题，在保修期内对设备进行维修和零配件的更换。</w:t>
      </w:r>
    </w:p>
    <w:p w14:paraId="11773B29">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lang w:val="en-US" w:eastAsia="zh-CN"/>
        </w:rPr>
        <w:t>9</w:t>
      </w:r>
      <w:r>
        <w:rPr>
          <w:rFonts w:hint="eastAsia" w:asciiTheme="minorEastAsia" w:hAnsiTheme="minorEastAsia"/>
          <w:color w:val="auto"/>
          <w:sz w:val="24"/>
          <w:szCs w:val="28"/>
          <w:highlight w:val="none"/>
        </w:rPr>
        <w:t>.7投标人应列出保修期后提供的服务方式及所需的费用。</w:t>
      </w:r>
    </w:p>
    <w:p w14:paraId="263D64C8">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lang w:val="en-US" w:eastAsia="zh-CN"/>
        </w:rPr>
        <w:t>9</w:t>
      </w:r>
      <w:r>
        <w:rPr>
          <w:rFonts w:hint="eastAsia" w:asciiTheme="minorEastAsia" w:hAnsiTheme="minorEastAsia"/>
          <w:color w:val="auto"/>
          <w:sz w:val="24"/>
          <w:szCs w:val="28"/>
          <w:highlight w:val="none"/>
        </w:rPr>
        <w:t>.8投标人应为</w:t>
      </w:r>
      <w:r>
        <w:rPr>
          <w:rFonts w:hint="eastAsia" w:asciiTheme="minorEastAsia" w:hAnsiTheme="minorEastAsia"/>
          <w:color w:val="auto"/>
          <w:sz w:val="24"/>
          <w:szCs w:val="28"/>
          <w:highlight w:val="none"/>
          <w:lang w:eastAsia="zh-CN"/>
        </w:rPr>
        <w:t>分签单位</w:t>
      </w:r>
      <w:r>
        <w:rPr>
          <w:rFonts w:hint="eastAsia" w:asciiTheme="minorEastAsia" w:hAnsiTheme="minorEastAsia"/>
          <w:color w:val="auto"/>
          <w:sz w:val="24"/>
          <w:szCs w:val="28"/>
          <w:highlight w:val="none"/>
        </w:rPr>
        <w:t>提供全部设备的操作、使用及维护的技术培训服务。</w:t>
      </w:r>
    </w:p>
    <w:p w14:paraId="253842D3">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lang w:val="en-US" w:eastAsia="zh-CN"/>
        </w:rPr>
        <w:t>9</w:t>
      </w:r>
      <w:r>
        <w:rPr>
          <w:rFonts w:hint="eastAsia" w:asciiTheme="minorEastAsia" w:hAnsiTheme="minorEastAsia"/>
          <w:color w:val="auto"/>
          <w:sz w:val="24"/>
          <w:szCs w:val="28"/>
          <w:highlight w:val="none"/>
        </w:rPr>
        <w:t>.9投标人应承诺能长期提供良好的技术支持及备品备件的优惠供应。</w:t>
      </w:r>
    </w:p>
    <w:p w14:paraId="34C38321">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lang w:val="en-US" w:eastAsia="zh-CN"/>
        </w:rPr>
        <w:t>9</w:t>
      </w:r>
      <w:r>
        <w:rPr>
          <w:rFonts w:hint="eastAsia" w:asciiTheme="minorEastAsia" w:hAnsiTheme="minorEastAsia"/>
          <w:color w:val="auto"/>
          <w:sz w:val="24"/>
          <w:szCs w:val="28"/>
          <w:highlight w:val="none"/>
        </w:rPr>
        <w:t>.10投标人认为有利于</w:t>
      </w:r>
      <w:r>
        <w:rPr>
          <w:rFonts w:hint="eastAsia" w:asciiTheme="minorEastAsia" w:hAnsiTheme="minorEastAsia"/>
          <w:color w:val="auto"/>
          <w:sz w:val="24"/>
          <w:szCs w:val="28"/>
          <w:highlight w:val="none"/>
          <w:lang w:eastAsia="zh-CN"/>
        </w:rPr>
        <w:t>分签单位</w:t>
      </w:r>
      <w:r>
        <w:rPr>
          <w:rFonts w:hint="eastAsia" w:asciiTheme="minorEastAsia" w:hAnsiTheme="minorEastAsia"/>
          <w:color w:val="auto"/>
          <w:sz w:val="24"/>
          <w:szCs w:val="28"/>
          <w:highlight w:val="none"/>
        </w:rPr>
        <w:t>的其他优惠条款应单独列明。</w:t>
      </w:r>
    </w:p>
    <w:p w14:paraId="59BD4055">
      <w:pPr>
        <w:spacing w:line="360" w:lineRule="auto"/>
        <w:ind w:firstLine="480" w:firstLineChars="200"/>
        <w:rPr>
          <w:rFonts w:hint="eastAsia" w:asciiTheme="minorEastAsia" w:hAnsiTheme="minorEastAsia"/>
          <w:color w:val="auto"/>
          <w:sz w:val="24"/>
          <w:szCs w:val="28"/>
          <w:highlight w:val="none"/>
          <w:lang w:val="en-US" w:eastAsia="zh-CN"/>
        </w:rPr>
      </w:pPr>
      <w:r>
        <w:rPr>
          <w:rFonts w:hint="eastAsia" w:asciiTheme="minorEastAsia" w:hAnsiTheme="minorEastAsia"/>
          <w:color w:val="auto"/>
          <w:sz w:val="24"/>
          <w:szCs w:val="28"/>
          <w:highlight w:val="none"/>
          <w:lang w:val="en-US" w:eastAsia="zh-CN"/>
        </w:rPr>
        <w:t>9.11试剂耗材采购约定</w:t>
      </w:r>
    </w:p>
    <w:p w14:paraId="4DF04CE8">
      <w:pPr>
        <w:spacing w:line="360" w:lineRule="auto"/>
        <w:ind w:firstLine="480" w:firstLineChars="200"/>
        <w:rPr>
          <w:rFonts w:hint="default" w:asciiTheme="minorEastAsia" w:hAnsiTheme="minorEastAsia"/>
          <w:color w:val="auto"/>
          <w:sz w:val="24"/>
          <w:szCs w:val="28"/>
          <w:highlight w:val="none"/>
          <w:lang w:val="en-US" w:eastAsia="zh-CN"/>
        </w:rPr>
      </w:pPr>
      <w:r>
        <w:rPr>
          <w:rFonts w:hint="eastAsia" w:asciiTheme="minorEastAsia" w:hAnsiTheme="minorEastAsia"/>
          <w:color w:val="auto"/>
          <w:sz w:val="24"/>
          <w:szCs w:val="28"/>
          <w:highlight w:val="none"/>
          <w:lang w:val="en-US" w:eastAsia="zh-CN"/>
        </w:rPr>
        <w:t>9.11.1</w:t>
      </w:r>
      <w:r>
        <w:rPr>
          <w:rFonts w:hint="default" w:asciiTheme="minorEastAsia" w:hAnsiTheme="minorEastAsia"/>
          <w:color w:val="auto"/>
          <w:sz w:val="24"/>
          <w:szCs w:val="28"/>
          <w:highlight w:val="none"/>
          <w:lang w:val="en-US" w:eastAsia="zh-CN"/>
        </w:rPr>
        <w:t xml:space="preserve"> </w:t>
      </w:r>
      <w:r>
        <w:rPr>
          <w:rFonts w:hint="eastAsia" w:asciiTheme="minorEastAsia" w:hAnsiTheme="minorEastAsia"/>
          <w:color w:val="auto"/>
          <w:sz w:val="24"/>
          <w:szCs w:val="28"/>
          <w:highlight w:val="none"/>
          <w:lang w:val="en-US" w:eastAsia="zh-CN"/>
        </w:rPr>
        <w:t>项目</w:t>
      </w:r>
      <w:r>
        <w:rPr>
          <w:rFonts w:hint="default" w:asciiTheme="minorEastAsia" w:hAnsiTheme="minorEastAsia"/>
          <w:color w:val="auto"/>
          <w:sz w:val="24"/>
          <w:szCs w:val="28"/>
          <w:highlight w:val="none"/>
          <w:lang w:val="en-US" w:eastAsia="zh-CN"/>
        </w:rPr>
        <w:t>标的设备使用期间，</w:t>
      </w:r>
      <w:r>
        <w:rPr>
          <w:rFonts w:hint="eastAsia" w:asciiTheme="minorEastAsia" w:hAnsiTheme="minorEastAsia"/>
          <w:color w:val="auto"/>
          <w:sz w:val="24"/>
          <w:szCs w:val="28"/>
          <w:highlight w:val="none"/>
        </w:rPr>
        <w:t>中标人</w:t>
      </w:r>
      <w:r>
        <w:rPr>
          <w:rFonts w:hint="default" w:asciiTheme="minorEastAsia" w:hAnsiTheme="minorEastAsia"/>
          <w:color w:val="auto"/>
          <w:sz w:val="24"/>
          <w:szCs w:val="28"/>
          <w:highlight w:val="none"/>
          <w:lang w:val="en-US" w:eastAsia="zh-CN"/>
        </w:rPr>
        <w:t>需无条件按分签医院采购要求提供相应试剂耗材，分签医院有权选择向</w:t>
      </w:r>
      <w:r>
        <w:rPr>
          <w:rFonts w:hint="eastAsia" w:asciiTheme="minorEastAsia" w:hAnsiTheme="minorEastAsia"/>
          <w:color w:val="auto"/>
          <w:sz w:val="24"/>
          <w:szCs w:val="28"/>
          <w:highlight w:val="none"/>
        </w:rPr>
        <w:t>中标人</w:t>
      </w:r>
      <w:r>
        <w:rPr>
          <w:rFonts w:hint="default" w:asciiTheme="minorEastAsia" w:hAnsiTheme="minorEastAsia"/>
          <w:color w:val="auto"/>
          <w:sz w:val="24"/>
          <w:szCs w:val="28"/>
          <w:highlight w:val="none"/>
          <w:lang w:val="en-US" w:eastAsia="zh-CN"/>
        </w:rPr>
        <w:t>采购试剂耗材，也有权向其他供应商采购试剂耗材，</w:t>
      </w:r>
      <w:r>
        <w:rPr>
          <w:rFonts w:hint="eastAsia" w:asciiTheme="minorEastAsia" w:hAnsiTheme="minorEastAsia"/>
          <w:color w:val="auto"/>
          <w:sz w:val="24"/>
          <w:szCs w:val="28"/>
          <w:highlight w:val="none"/>
        </w:rPr>
        <w:t>中标人</w:t>
      </w:r>
      <w:r>
        <w:rPr>
          <w:rFonts w:hint="default" w:asciiTheme="minorEastAsia" w:hAnsiTheme="minorEastAsia"/>
          <w:color w:val="auto"/>
          <w:sz w:val="24"/>
          <w:szCs w:val="28"/>
          <w:highlight w:val="none"/>
          <w:lang w:val="en-US" w:eastAsia="zh-CN"/>
        </w:rPr>
        <w:t>不得强迫分签医院必须向其采购，也不得采取任何不正当手段限制影响分签医院使用其他供应商的试剂耗材。</w:t>
      </w:r>
    </w:p>
    <w:p w14:paraId="3ABF1B55">
      <w:pPr>
        <w:spacing w:line="360" w:lineRule="auto"/>
        <w:ind w:firstLine="480" w:firstLineChars="200"/>
        <w:rPr>
          <w:rFonts w:hint="default" w:asciiTheme="minorEastAsia" w:hAnsiTheme="minorEastAsia"/>
          <w:color w:val="auto"/>
          <w:sz w:val="24"/>
          <w:szCs w:val="28"/>
          <w:highlight w:val="none"/>
          <w:lang w:val="en-US" w:eastAsia="zh-CN"/>
        </w:rPr>
      </w:pPr>
      <w:r>
        <w:rPr>
          <w:rFonts w:hint="eastAsia" w:asciiTheme="minorEastAsia" w:hAnsiTheme="minorEastAsia"/>
          <w:color w:val="auto"/>
          <w:sz w:val="24"/>
          <w:szCs w:val="28"/>
          <w:highlight w:val="none"/>
          <w:lang w:val="en-US" w:eastAsia="zh-CN"/>
        </w:rPr>
        <w:t>9.11.</w:t>
      </w:r>
      <w:r>
        <w:rPr>
          <w:rFonts w:hint="default" w:asciiTheme="minorEastAsia" w:hAnsiTheme="minorEastAsia"/>
          <w:color w:val="auto"/>
          <w:sz w:val="24"/>
          <w:szCs w:val="28"/>
          <w:highlight w:val="none"/>
          <w:lang w:val="en-US" w:eastAsia="zh-CN"/>
        </w:rPr>
        <w:t>2设备使用期间，若分签医院选择向</w:t>
      </w:r>
      <w:r>
        <w:rPr>
          <w:rFonts w:hint="eastAsia" w:asciiTheme="minorEastAsia" w:hAnsiTheme="minorEastAsia"/>
          <w:color w:val="auto"/>
          <w:sz w:val="24"/>
          <w:szCs w:val="28"/>
          <w:highlight w:val="none"/>
        </w:rPr>
        <w:t>中标人</w:t>
      </w:r>
      <w:r>
        <w:rPr>
          <w:rFonts w:hint="default" w:asciiTheme="minorEastAsia" w:hAnsiTheme="minorEastAsia"/>
          <w:color w:val="auto"/>
          <w:sz w:val="24"/>
          <w:szCs w:val="28"/>
          <w:highlight w:val="none"/>
          <w:lang w:val="en-US" w:eastAsia="zh-CN"/>
        </w:rPr>
        <w:t>采购配套试剂耗材的，</w:t>
      </w:r>
      <w:r>
        <w:rPr>
          <w:rFonts w:hint="eastAsia" w:asciiTheme="minorEastAsia" w:hAnsiTheme="minorEastAsia"/>
          <w:color w:val="auto"/>
          <w:sz w:val="24"/>
          <w:szCs w:val="28"/>
          <w:highlight w:val="none"/>
        </w:rPr>
        <w:t>中标人</w:t>
      </w:r>
      <w:r>
        <w:rPr>
          <w:rFonts w:hint="default" w:asciiTheme="minorEastAsia" w:hAnsiTheme="minorEastAsia"/>
          <w:color w:val="auto"/>
          <w:sz w:val="24"/>
          <w:szCs w:val="28"/>
          <w:highlight w:val="none"/>
          <w:lang w:val="en-US" w:eastAsia="zh-CN"/>
        </w:rPr>
        <w:t>应在收到分签医院供货通知起</w:t>
      </w:r>
      <w:r>
        <w:rPr>
          <w:rFonts w:hint="eastAsia" w:asciiTheme="minorEastAsia" w:hAnsiTheme="minorEastAsia"/>
          <w:color w:val="auto"/>
          <w:sz w:val="24"/>
          <w:szCs w:val="28"/>
          <w:highlight w:val="none"/>
          <w:lang w:val="en-US" w:eastAsia="zh-CN"/>
        </w:rPr>
        <w:t>指定时间</w:t>
      </w:r>
      <w:r>
        <w:rPr>
          <w:rFonts w:hint="default" w:asciiTheme="minorEastAsia" w:hAnsiTheme="minorEastAsia"/>
          <w:color w:val="auto"/>
          <w:sz w:val="24"/>
          <w:szCs w:val="28"/>
          <w:highlight w:val="none"/>
          <w:lang w:val="en-US" w:eastAsia="zh-CN"/>
        </w:rPr>
        <w:t>内送货到分签医院指定地点配套试剂耗材后续使用，实际结算单价需遵循分签医院试剂耗材入院全流程规范进行确定，并纳入分签医院医用试剂耗材管理。除了结算金额外，</w:t>
      </w:r>
      <w:r>
        <w:rPr>
          <w:rFonts w:hint="eastAsia" w:asciiTheme="minorEastAsia" w:hAnsiTheme="minorEastAsia"/>
          <w:color w:val="auto"/>
          <w:sz w:val="24"/>
          <w:szCs w:val="28"/>
          <w:highlight w:val="none"/>
        </w:rPr>
        <w:t>中标人</w:t>
      </w:r>
      <w:r>
        <w:rPr>
          <w:rFonts w:hint="default" w:asciiTheme="minorEastAsia" w:hAnsiTheme="minorEastAsia"/>
          <w:color w:val="auto"/>
          <w:sz w:val="24"/>
          <w:szCs w:val="28"/>
          <w:highlight w:val="none"/>
          <w:lang w:val="en-US" w:eastAsia="zh-CN"/>
        </w:rPr>
        <w:t>不得再向分签医院收取其他任何费用。</w:t>
      </w:r>
    </w:p>
    <w:p w14:paraId="7C267C0C">
      <w:pPr>
        <w:spacing w:line="360" w:lineRule="auto"/>
        <w:ind w:firstLine="480" w:firstLineChars="200"/>
        <w:rPr>
          <w:rFonts w:hint="default" w:asciiTheme="minorEastAsia" w:hAnsiTheme="minorEastAsia"/>
          <w:color w:val="auto"/>
          <w:sz w:val="24"/>
          <w:szCs w:val="28"/>
          <w:highlight w:val="none"/>
          <w:lang w:val="en-US" w:eastAsia="zh-CN"/>
        </w:rPr>
      </w:pPr>
      <w:r>
        <w:rPr>
          <w:rFonts w:hint="eastAsia" w:asciiTheme="minorEastAsia" w:hAnsiTheme="minorEastAsia"/>
          <w:color w:val="auto"/>
          <w:sz w:val="24"/>
          <w:szCs w:val="28"/>
          <w:highlight w:val="none"/>
          <w:lang w:val="en-US" w:eastAsia="zh-CN"/>
        </w:rPr>
        <w:t>9.11.3</w:t>
      </w:r>
      <w:r>
        <w:rPr>
          <w:rFonts w:hint="default" w:asciiTheme="minorEastAsia" w:hAnsiTheme="minorEastAsia"/>
          <w:color w:val="auto"/>
          <w:sz w:val="24"/>
          <w:szCs w:val="28"/>
          <w:highlight w:val="none"/>
          <w:lang w:val="en-US" w:eastAsia="zh-CN"/>
        </w:rPr>
        <w:t>分签医院不承诺试剂耗材的采购量，</w:t>
      </w:r>
      <w:r>
        <w:rPr>
          <w:rFonts w:hint="eastAsia" w:asciiTheme="minorEastAsia" w:hAnsiTheme="minorEastAsia"/>
          <w:color w:val="auto"/>
          <w:sz w:val="24"/>
          <w:szCs w:val="28"/>
          <w:highlight w:val="none"/>
          <w:lang w:val="en-US" w:eastAsia="zh-CN"/>
        </w:rPr>
        <w:t>中标人</w:t>
      </w:r>
      <w:r>
        <w:rPr>
          <w:rFonts w:hint="default" w:asciiTheme="minorEastAsia" w:hAnsiTheme="minorEastAsia"/>
          <w:color w:val="auto"/>
          <w:sz w:val="24"/>
          <w:szCs w:val="28"/>
          <w:highlight w:val="none"/>
          <w:lang w:val="en-US" w:eastAsia="zh-CN"/>
        </w:rPr>
        <w:t>不得以检测（采购）数量少、实际检测（采购）数量与预估检测（采购）量差距太多等为由拒绝向分签医院供货，或者要求调整综合单价。</w:t>
      </w:r>
    </w:p>
    <w:p w14:paraId="4D6F027B">
      <w:pPr>
        <w:spacing w:line="360" w:lineRule="auto"/>
        <w:ind w:firstLine="480" w:firstLineChars="200"/>
        <w:rPr>
          <w:rFonts w:hint="default" w:asciiTheme="minorEastAsia" w:hAnsiTheme="minorEastAsia"/>
          <w:color w:val="auto"/>
          <w:sz w:val="24"/>
          <w:szCs w:val="28"/>
          <w:highlight w:val="none"/>
          <w:lang w:val="en-US" w:eastAsia="zh-CN"/>
        </w:rPr>
      </w:pPr>
      <w:r>
        <w:rPr>
          <w:rFonts w:hint="eastAsia" w:asciiTheme="minorEastAsia" w:hAnsiTheme="minorEastAsia"/>
          <w:color w:val="auto"/>
          <w:sz w:val="24"/>
          <w:szCs w:val="28"/>
          <w:highlight w:val="none"/>
          <w:lang w:val="en-US" w:eastAsia="zh-CN"/>
        </w:rPr>
        <w:t>9.11.</w:t>
      </w:r>
      <w:r>
        <w:rPr>
          <w:rFonts w:hint="default" w:asciiTheme="minorEastAsia" w:hAnsiTheme="minorEastAsia"/>
          <w:color w:val="auto"/>
          <w:sz w:val="24"/>
          <w:szCs w:val="28"/>
          <w:highlight w:val="none"/>
          <w:lang w:val="en-US" w:eastAsia="zh-CN"/>
        </w:rPr>
        <w:t>4若遇国家或上级部门重大政策调整（如政府统一采购等），导致影响合同履行的，分签医院可根据政策调整终止试剂耗材的采购，且不向</w:t>
      </w:r>
      <w:r>
        <w:rPr>
          <w:rFonts w:hint="eastAsia" w:asciiTheme="minorEastAsia" w:hAnsiTheme="minorEastAsia"/>
          <w:color w:val="auto"/>
          <w:sz w:val="24"/>
          <w:szCs w:val="28"/>
          <w:highlight w:val="none"/>
          <w:lang w:val="en-US" w:eastAsia="zh-CN"/>
        </w:rPr>
        <w:t>中标人</w:t>
      </w:r>
      <w:r>
        <w:rPr>
          <w:rFonts w:hint="default" w:asciiTheme="minorEastAsia" w:hAnsiTheme="minorEastAsia"/>
          <w:color w:val="auto"/>
          <w:sz w:val="24"/>
          <w:szCs w:val="28"/>
          <w:highlight w:val="none"/>
          <w:lang w:val="en-US" w:eastAsia="zh-CN"/>
        </w:rPr>
        <w:t>承担违约责任。</w:t>
      </w:r>
    </w:p>
    <w:p w14:paraId="15926B02">
      <w:pPr>
        <w:spacing w:line="360" w:lineRule="auto"/>
        <w:ind w:firstLine="480" w:firstLineChars="200"/>
        <w:rPr>
          <w:rFonts w:hint="default" w:asciiTheme="minorEastAsia" w:hAnsiTheme="minorEastAsia"/>
          <w:color w:val="auto"/>
          <w:sz w:val="24"/>
          <w:szCs w:val="28"/>
          <w:highlight w:val="none"/>
          <w:lang w:val="en-US" w:eastAsia="zh-CN"/>
        </w:rPr>
      </w:pPr>
    </w:p>
    <w:p w14:paraId="6D2A03BE">
      <w:pPr>
        <w:spacing w:line="360" w:lineRule="auto"/>
        <w:ind w:firstLine="482" w:firstLineChars="200"/>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10</w:t>
      </w:r>
      <w:r>
        <w:rPr>
          <w:rFonts w:hint="eastAsia" w:ascii="宋体" w:hAnsi="宋体" w:eastAsia="宋体" w:cs="宋体"/>
          <w:b/>
          <w:bCs/>
          <w:color w:val="auto"/>
          <w:kern w:val="0"/>
          <w:sz w:val="24"/>
          <w:szCs w:val="24"/>
          <w:highlight w:val="none"/>
        </w:rPr>
        <w:t>、报价要求</w:t>
      </w:r>
    </w:p>
    <w:p w14:paraId="5844AD2E">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rPr>
        <w:t>10.1本项目为整体采购，投标人对本项目所有的内容必须完整响应，否则将视为无效投标。</w:t>
      </w:r>
    </w:p>
    <w:p w14:paraId="5A19985F">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rPr>
        <w:t>10.2报价应以人民币为货币单位，应分单价、小计和总价。</w:t>
      </w:r>
    </w:p>
    <w:p w14:paraId="0CABE223">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rPr>
        <w:t>10.3本项目为交钥匙项目，报价为产品送达分签单位指定地点进行安装，经分签单位验收合格所发生的一切费用，其包括但不限于以下费用：产品（含主要设备、配件、辅材）供应、运输装卸费、保险费、采购保管费、安装费、调试费、信息系统对接费用、行政规费与税费、产品检验检测、操作人员培训费、管理费、验收费、第三方检测费用、售后服务等所有费用。【本项目如涉及与分签单位在用信息系统（包含但不限于：HIS系统、Pacs系统、电子病历系统、外联平台等，相关接口信息可现场踏勘获悉）与本项目设备接入需求产生的系统改造、第三方系统对接所需等费用均已包含在本项目总价中，由中标人与相关第三方供应商协商，分签单位不再为此支付任何费用。】</w:t>
      </w:r>
    </w:p>
    <w:p w14:paraId="270BCA4E">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rPr>
        <w:t>10.4投标人单价报价中漏报、少报的费用，视为此项费用已隐含在总报价中，中标后不得再向分签单位收取任何费用。</w:t>
      </w:r>
    </w:p>
    <w:p w14:paraId="4E0FB846">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rPr>
        <w:t>10.5技术参数中要求选配、按需配置的部分，已包含在总报价中，中标后不得再向分签单位收取任何费用。</w:t>
      </w:r>
    </w:p>
    <w:p w14:paraId="2E8C984E">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lang w:val="en-US" w:eastAsia="zh-CN"/>
        </w:rPr>
        <w:t>10.6</w:t>
      </w:r>
      <w:r>
        <w:rPr>
          <w:rFonts w:hint="eastAsia" w:asciiTheme="minorEastAsia" w:hAnsiTheme="minorEastAsia" w:eastAsiaTheme="minorEastAsia" w:cstheme="minorBidi"/>
          <w:color w:val="auto"/>
          <w:sz w:val="24"/>
          <w:szCs w:val="28"/>
          <w:highlight w:val="none"/>
        </w:rPr>
        <w:t>★</w:t>
      </w:r>
      <w:r>
        <w:rPr>
          <w:rFonts w:hint="eastAsia" w:asciiTheme="minorEastAsia" w:hAnsiTheme="minorEastAsia"/>
          <w:color w:val="auto"/>
          <w:sz w:val="24"/>
          <w:szCs w:val="28"/>
          <w:highlight w:val="none"/>
        </w:rPr>
        <w:t>投标人</w:t>
      </w:r>
      <w:r>
        <w:rPr>
          <w:rFonts w:hint="eastAsia" w:asciiTheme="minorEastAsia" w:hAnsiTheme="minorEastAsia"/>
          <w:color w:val="auto"/>
          <w:sz w:val="24"/>
          <w:szCs w:val="28"/>
          <w:highlight w:val="none"/>
          <w:lang w:val="en-US" w:eastAsia="zh-CN"/>
        </w:rPr>
        <w:t>应</w:t>
      </w:r>
      <w:r>
        <w:rPr>
          <w:rFonts w:hint="eastAsia" w:asciiTheme="minorEastAsia" w:hAnsiTheme="minorEastAsia"/>
          <w:color w:val="auto"/>
          <w:sz w:val="24"/>
          <w:szCs w:val="28"/>
          <w:highlight w:val="none"/>
        </w:rPr>
        <w:t>按以下格式在投标文件中提供分项报价表</w:t>
      </w:r>
      <w:r>
        <w:rPr>
          <w:rFonts w:hint="eastAsia" w:asciiTheme="minorEastAsia" w:hAnsiTheme="minorEastAsia"/>
          <w:color w:val="auto"/>
          <w:sz w:val="24"/>
          <w:szCs w:val="28"/>
          <w:highlight w:val="none"/>
          <w:lang w:eastAsia="zh-CN"/>
        </w:rPr>
        <w:t>，</w:t>
      </w:r>
      <w:r>
        <w:rPr>
          <w:rFonts w:hint="eastAsia" w:asciiTheme="minorEastAsia" w:hAnsiTheme="minorEastAsia"/>
          <w:color w:val="auto"/>
          <w:sz w:val="24"/>
          <w:szCs w:val="28"/>
          <w:highlight w:val="none"/>
        </w:rPr>
        <w:t>分项报价表上传至报价分册“优先类节能产品、环境标志产品统计表”。</w:t>
      </w:r>
    </w:p>
    <w:p w14:paraId="24BD7830">
      <w:pPr>
        <w:pStyle w:val="54"/>
        <w:ind w:firstLine="48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分项报价表</w:t>
      </w:r>
    </w:p>
    <w:p w14:paraId="25A09760">
      <w:pPr>
        <w:pStyle w:val="54"/>
        <w:jc w:val="left"/>
        <w:rPr>
          <w:rFonts w:hint="eastAsia" w:ascii="宋体" w:hAnsi="宋体" w:eastAsia="宋体" w:cs="宋体"/>
          <w:color w:val="auto"/>
          <w:sz w:val="30"/>
          <w:szCs w:val="30"/>
          <w:highlight w:val="none"/>
        </w:rPr>
      </w:pPr>
    </w:p>
    <w:p w14:paraId="672DB12E">
      <w:pPr>
        <w:pStyle w:val="54"/>
        <w:ind w:left="0" w:leftChars="0" w:firstLine="0" w:firstLineChars="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采购包</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核酸质谱系统（</w:t>
      </w:r>
      <w:r>
        <w:rPr>
          <w:rFonts w:hint="eastAsia" w:ascii="宋体" w:hAnsi="宋体" w:eastAsia="宋体" w:cs="宋体"/>
          <w:b/>
          <w:color w:val="auto"/>
          <w:sz w:val="24"/>
          <w:szCs w:val="24"/>
          <w:highlight w:val="none"/>
          <w:lang w:val="en-US" w:eastAsia="zh-CN"/>
        </w:rPr>
        <w:t>分签医院：厦门大学附属第一医院）</w:t>
      </w:r>
    </w:p>
    <w:tbl>
      <w:tblPr>
        <w:tblStyle w:val="17"/>
        <w:tblW w:w="915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8"/>
        <w:gridCol w:w="2446"/>
        <w:gridCol w:w="1000"/>
        <w:gridCol w:w="944"/>
        <w:gridCol w:w="630"/>
        <w:gridCol w:w="590"/>
        <w:gridCol w:w="940"/>
        <w:gridCol w:w="920"/>
        <w:gridCol w:w="990"/>
      </w:tblGrid>
      <w:tr w14:paraId="7C15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98" w:type="dxa"/>
            <w:shd w:val="clear" w:color="auto" w:fill="auto"/>
            <w:noWrap/>
            <w:vAlign w:val="center"/>
          </w:tcPr>
          <w:p w14:paraId="19F1AF73">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446" w:type="dxa"/>
            <w:shd w:val="clear" w:color="auto" w:fill="auto"/>
            <w:vAlign w:val="center"/>
          </w:tcPr>
          <w:p w14:paraId="1025533E">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配置清单</w:t>
            </w:r>
          </w:p>
        </w:tc>
        <w:tc>
          <w:tcPr>
            <w:tcW w:w="1000" w:type="dxa"/>
            <w:shd w:val="clear" w:color="auto" w:fill="auto"/>
            <w:vAlign w:val="center"/>
          </w:tcPr>
          <w:p w14:paraId="213BBB04">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944" w:type="dxa"/>
            <w:shd w:val="clear" w:color="auto" w:fill="auto"/>
            <w:vAlign w:val="center"/>
          </w:tcPr>
          <w:p w14:paraId="6EA1A07D">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630" w:type="dxa"/>
            <w:shd w:val="clear" w:color="auto" w:fill="auto"/>
            <w:vAlign w:val="center"/>
          </w:tcPr>
          <w:p w14:paraId="5738183D">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品牌</w:t>
            </w:r>
          </w:p>
        </w:tc>
        <w:tc>
          <w:tcPr>
            <w:tcW w:w="590" w:type="dxa"/>
            <w:shd w:val="clear" w:color="auto" w:fill="auto"/>
            <w:vAlign w:val="center"/>
          </w:tcPr>
          <w:p w14:paraId="3AF2798B">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型号</w:t>
            </w:r>
          </w:p>
        </w:tc>
        <w:tc>
          <w:tcPr>
            <w:tcW w:w="940" w:type="dxa"/>
            <w:shd w:val="clear" w:color="auto" w:fill="auto"/>
            <w:vAlign w:val="center"/>
          </w:tcPr>
          <w:p w14:paraId="1385F376">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单价</w:t>
            </w:r>
          </w:p>
          <w:p w14:paraId="37074F53">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（万元）</w:t>
            </w:r>
          </w:p>
        </w:tc>
        <w:tc>
          <w:tcPr>
            <w:tcW w:w="920" w:type="dxa"/>
            <w:shd w:val="clear" w:color="auto" w:fill="auto"/>
            <w:vAlign w:val="center"/>
          </w:tcPr>
          <w:p w14:paraId="4D078945">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小计</w:t>
            </w:r>
          </w:p>
          <w:p w14:paraId="43208104">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（万元）</w:t>
            </w:r>
          </w:p>
        </w:tc>
        <w:tc>
          <w:tcPr>
            <w:tcW w:w="990" w:type="dxa"/>
            <w:shd w:val="clear" w:color="auto" w:fill="auto"/>
            <w:vAlign w:val="center"/>
          </w:tcPr>
          <w:p w14:paraId="5D348AF6">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0168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698" w:type="dxa"/>
            <w:shd w:val="clear" w:color="auto" w:fill="auto"/>
            <w:noWrap/>
            <w:vAlign w:val="center"/>
          </w:tcPr>
          <w:p w14:paraId="33808E48">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1</w:t>
            </w:r>
          </w:p>
        </w:tc>
        <w:tc>
          <w:tcPr>
            <w:tcW w:w="2446" w:type="dxa"/>
            <w:shd w:val="clear" w:color="auto" w:fill="auto"/>
            <w:vAlign w:val="center"/>
          </w:tcPr>
          <w:p w14:paraId="5A37C9B8">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飞行时间质谱系统主机</w:t>
            </w:r>
          </w:p>
        </w:tc>
        <w:tc>
          <w:tcPr>
            <w:tcW w:w="1000" w:type="dxa"/>
            <w:shd w:val="clear" w:color="auto" w:fill="auto"/>
            <w:vAlign w:val="center"/>
          </w:tcPr>
          <w:p w14:paraId="1381F931">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1</w:t>
            </w:r>
          </w:p>
        </w:tc>
        <w:tc>
          <w:tcPr>
            <w:tcW w:w="944" w:type="dxa"/>
            <w:shd w:val="clear" w:color="auto" w:fill="auto"/>
            <w:vAlign w:val="center"/>
          </w:tcPr>
          <w:p w14:paraId="1FC04660">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套</w:t>
            </w:r>
          </w:p>
        </w:tc>
        <w:tc>
          <w:tcPr>
            <w:tcW w:w="630" w:type="dxa"/>
            <w:shd w:val="clear" w:color="auto" w:fill="auto"/>
            <w:vAlign w:val="top"/>
          </w:tcPr>
          <w:p w14:paraId="7EB617BF">
            <w:pPr>
              <w:pStyle w:val="54"/>
              <w:jc w:val="center"/>
              <w:rPr>
                <w:rFonts w:hint="eastAsia" w:ascii="宋体" w:hAnsi="宋体" w:eastAsia="宋体" w:cs="宋体"/>
                <w:b/>
                <w:bCs/>
                <w:i w:val="0"/>
                <w:iCs w:val="0"/>
                <w:color w:val="auto"/>
                <w:sz w:val="24"/>
                <w:szCs w:val="24"/>
                <w:highlight w:val="none"/>
                <w:u w:val="none"/>
              </w:rPr>
            </w:pPr>
          </w:p>
        </w:tc>
        <w:tc>
          <w:tcPr>
            <w:tcW w:w="590" w:type="dxa"/>
            <w:shd w:val="clear" w:color="auto" w:fill="auto"/>
            <w:vAlign w:val="top"/>
          </w:tcPr>
          <w:p w14:paraId="76D50759">
            <w:pPr>
              <w:pStyle w:val="54"/>
              <w:jc w:val="center"/>
              <w:rPr>
                <w:rFonts w:hint="eastAsia" w:ascii="宋体" w:hAnsi="宋体" w:eastAsia="宋体" w:cs="宋体"/>
                <w:b/>
                <w:bCs/>
                <w:i w:val="0"/>
                <w:iCs w:val="0"/>
                <w:color w:val="auto"/>
                <w:sz w:val="24"/>
                <w:szCs w:val="24"/>
                <w:highlight w:val="none"/>
                <w:u w:val="none"/>
              </w:rPr>
            </w:pPr>
          </w:p>
        </w:tc>
        <w:tc>
          <w:tcPr>
            <w:tcW w:w="940" w:type="dxa"/>
            <w:shd w:val="clear" w:color="auto" w:fill="auto"/>
            <w:vAlign w:val="center"/>
          </w:tcPr>
          <w:p w14:paraId="4C7462AA">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920" w:type="dxa"/>
            <w:shd w:val="clear" w:color="auto" w:fill="auto"/>
            <w:vAlign w:val="center"/>
          </w:tcPr>
          <w:p w14:paraId="06B2296D">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990" w:type="dxa"/>
            <w:shd w:val="clear" w:color="auto" w:fill="auto"/>
            <w:vAlign w:val="center"/>
          </w:tcPr>
          <w:p w14:paraId="76266A75">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2B55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9" w:hRule="atLeast"/>
        </w:trPr>
        <w:tc>
          <w:tcPr>
            <w:tcW w:w="698" w:type="dxa"/>
            <w:shd w:val="clear" w:color="auto" w:fill="auto"/>
            <w:noWrap/>
            <w:vAlign w:val="center"/>
          </w:tcPr>
          <w:p w14:paraId="49DF3426">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2</w:t>
            </w:r>
          </w:p>
        </w:tc>
        <w:tc>
          <w:tcPr>
            <w:tcW w:w="2446" w:type="dxa"/>
            <w:shd w:val="clear" w:color="auto" w:fill="auto"/>
            <w:vAlign w:val="center"/>
          </w:tcPr>
          <w:p w14:paraId="1D239041">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系统工作站（工作站内存不低于16GB DDR5、硬盘不低于512GB 固态硬盘）</w:t>
            </w:r>
          </w:p>
        </w:tc>
        <w:tc>
          <w:tcPr>
            <w:tcW w:w="1000" w:type="dxa"/>
            <w:shd w:val="clear" w:color="auto" w:fill="auto"/>
            <w:vAlign w:val="center"/>
          </w:tcPr>
          <w:p w14:paraId="1DF4C181">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1</w:t>
            </w:r>
          </w:p>
        </w:tc>
        <w:tc>
          <w:tcPr>
            <w:tcW w:w="944" w:type="dxa"/>
            <w:shd w:val="clear" w:color="auto" w:fill="auto"/>
            <w:vAlign w:val="center"/>
          </w:tcPr>
          <w:p w14:paraId="14EB802B">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套</w:t>
            </w:r>
          </w:p>
        </w:tc>
        <w:tc>
          <w:tcPr>
            <w:tcW w:w="630" w:type="dxa"/>
            <w:shd w:val="clear" w:color="auto" w:fill="auto"/>
            <w:vAlign w:val="top"/>
          </w:tcPr>
          <w:p w14:paraId="14CC0559">
            <w:pPr>
              <w:pStyle w:val="54"/>
              <w:jc w:val="center"/>
              <w:rPr>
                <w:rFonts w:hint="eastAsia" w:ascii="宋体" w:hAnsi="宋体" w:eastAsia="宋体" w:cs="宋体"/>
                <w:b/>
                <w:bCs/>
                <w:i w:val="0"/>
                <w:iCs w:val="0"/>
                <w:color w:val="auto"/>
                <w:sz w:val="24"/>
                <w:szCs w:val="24"/>
                <w:highlight w:val="none"/>
                <w:u w:val="none"/>
              </w:rPr>
            </w:pPr>
          </w:p>
        </w:tc>
        <w:tc>
          <w:tcPr>
            <w:tcW w:w="590" w:type="dxa"/>
            <w:shd w:val="clear" w:color="auto" w:fill="auto"/>
            <w:vAlign w:val="top"/>
          </w:tcPr>
          <w:p w14:paraId="4163413F">
            <w:pPr>
              <w:pStyle w:val="54"/>
              <w:jc w:val="center"/>
              <w:rPr>
                <w:rFonts w:hint="eastAsia" w:ascii="宋体" w:hAnsi="宋体" w:eastAsia="宋体" w:cs="宋体"/>
                <w:b/>
                <w:bCs/>
                <w:i w:val="0"/>
                <w:iCs w:val="0"/>
                <w:color w:val="auto"/>
                <w:sz w:val="24"/>
                <w:szCs w:val="24"/>
                <w:highlight w:val="none"/>
                <w:u w:val="none"/>
              </w:rPr>
            </w:pPr>
          </w:p>
        </w:tc>
        <w:tc>
          <w:tcPr>
            <w:tcW w:w="940" w:type="dxa"/>
            <w:shd w:val="clear" w:color="auto" w:fill="auto"/>
            <w:vAlign w:val="center"/>
          </w:tcPr>
          <w:p w14:paraId="5CAC68AE">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920" w:type="dxa"/>
            <w:shd w:val="clear" w:color="auto" w:fill="auto"/>
            <w:vAlign w:val="center"/>
          </w:tcPr>
          <w:p w14:paraId="6D4B0FD7">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990" w:type="dxa"/>
            <w:shd w:val="clear" w:color="auto" w:fill="auto"/>
            <w:vAlign w:val="center"/>
          </w:tcPr>
          <w:p w14:paraId="3A0D2304">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0BA8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698" w:type="dxa"/>
            <w:shd w:val="clear" w:color="auto" w:fill="auto"/>
            <w:noWrap/>
            <w:vAlign w:val="center"/>
          </w:tcPr>
          <w:p w14:paraId="7E9A2406">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3</w:t>
            </w:r>
          </w:p>
        </w:tc>
        <w:tc>
          <w:tcPr>
            <w:tcW w:w="2446" w:type="dxa"/>
            <w:shd w:val="clear" w:color="auto" w:fill="auto"/>
            <w:vAlign w:val="center"/>
          </w:tcPr>
          <w:p w14:paraId="3B3A9367">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同品牌核酸提取仪</w:t>
            </w:r>
          </w:p>
        </w:tc>
        <w:tc>
          <w:tcPr>
            <w:tcW w:w="1000" w:type="dxa"/>
            <w:shd w:val="clear" w:color="auto" w:fill="auto"/>
            <w:vAlign w:val="center"/>
          </w:tcPr>
          <w:p w14:paraId="1B1FE871">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1</w:t>
            </w:r>
          </w:p>
        </w:tc>
        <w:tc>
          <w:tcPr>
            <w:tcW w:w="944" w:type="dxa"/>
            <w:shd w:val="clear" w:color="auto" w:fill="auto"/>
            <w:vAlign w:val="center"/>
          </w:tcPr>
          <w:p w14:paraId="329567F9">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套</w:t>
            </w:r>
          </w:p>
        </w:tc>
        <w:tc>
          <w:tcPr>
            <w:tcW w:w="630" w:type="dxa"/>
            <w:shd w:val="clear" w:color="auto" w:fill="auto"/>
            <w:vAlign w:val="top"/>
          </w:tcPr>
          <w:p w14:paraId="3EF58E78">
            <w:pPr>
              <w:pStyle w:val="54"/>
              <w:jc w:val="center"/>
              <w:rPr>
                <w:rFonts w:hint="eastAsia" w:ascii="宋体" w:hAnsi="宋体" w:eastAsia="宋体" w:cs="宋体"/>
                <w:b/>
                <w:bCs/>
                <w:i w:val="0"/>
                <w:iCs w:val="0"/>
                <w:color w:val="auto"/>
                <w:sz w:val="24"/>
                <w:szCs w:val="24"/>
                <w:highlight w:val="none"/>
                <w:u w:val="none"/>
              </w:rPr>
            </w:pPr>
          </w:p>
        </w:tc>
        <w:tc>
          <w:tcPr>
            <w:tcW w:w="590" w:type="dxa"/>
            <w:shd w:val="clear" w:color="auto" w:fill="auto"/>
            <w:vAlign w:val="top"/>
          </w:tcPr>
          <w:p w14:paraId="0416B061">
            <w:pPr>
              <w:pStyle w:val="54"/>
              <w:jc w:val="center"/>
              <w:rPr>
                <w:rFonts w:hint="eastAsia" w:ascii="宋体" w:hAnsi="宋体" w:eastAsia="宋体" w:cs="宋体"/>
                <w:b/>
                <w:bCs/>
                <w:i w:val="0"/>
                <w:iCs w:val="0"/>
                <w:color w:val="auto"/>
                <w:sz w:val="24"/>
                <w:szCs w:val="24"/>
                <w:highlight w:val="none"/>
                <w:u w:val="none"/>
              </w:rPr>
            </w:pPr>
          </w:p>
        </w:tc>
        <w:tc>
          <w:tcPr>
            <w:tcW w:w="940" w:type="dxa"/>
            <w:shd w:val="clear" w:color="auto" w:fill="auto"/>
            <w:vAlign w:val="center"/>
          </w:tcPr>
          <w:p w14:paraId="63194DB0">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920" w:type="dxa"/>
            <w:shd w:val="clear" w:color="auto" w:fill="auto"/>
            <w:vAlign w:val="center"/>
          </w:tcPr>
          <w:p w14:paraId="3E7E02DF">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990" w:type="dxa"/>
            <w:shd w:val="clear" w:color="auto" w:fill="auto"/>
            <w:vAlign w:val="center"/>
          </w:tcPr>
          <w:p w14:paraId="2CE87883">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6495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698" w:type="dxa"/>
            <w:shd w:val="clear" w:color="auto" w:fill="auto"/>
            <w:noWrap/>
            <w:vAlign w:val="center"/>
          </w:tcPr>
          <w:p w14:paraId="7FBD3B98">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4</w:t>
            </w:r>
          </w:p>
        </w:tc>
        <w:tc>
          <w:tcPr>
            <w:tcW w:w="2446" w:type="dxa"/>
            <w:shd w:val="clear" w:color="auto" w:fill="auto"/>
            <w:vAlign w:val="center"/>
          </w:tcPr>
          <w:p w14:paraId="18048BC2">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同品牌扩增仪</w:t>
            </w:r>
          </w:p>
        </w:tc>
        <w:tc>
          <w:tcPr>
            <w:tcW w:w="1000" w:type="dxa"/>
            <w:shd w:val="clear" w:color="auto" w:fill="auto"/>
            <w:vAlign w:val="center"/>
          </w:tcPr>
          <w:p w14:paraId="6D58AE7E">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1</w:t>
            </w:r>
          </w:p>
        </w:tc>
        <w:tc>
          <w:tcPr>
            <w:tcW w:w="944" w:type="dxa"/>
            <w:shd w:val="clear" w:color="auto" w:fill="auto"/>
            <w:vAlign w:val="center"/>
          </w:tcPr>
          <w:p w14:paraId="1A72384A">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套</w:t>
            </w:r>
          </w:p>
        </w:tc>
        <w:tc>
          <w:tcPr>
            <w:tcW w:w="630" w:type="dxa"/>
            <w:shd w:val="clear" w:color="auto" w:fill="auto"/>
            <w:vAlign w:val="top"/>
          </w:tcPr>
          <w:p w14:paraId="3048FC2A">
            <w:pPr>
              <w:pStyle w:val="54"/>
              <w:jc w:val="center"/>
              <w:rPr>
                <w:rFonts w:hint="eastAsia" w:ascii="宋体" w:hAnsi="宋体" w:eastAsia="宋体" w:cs="宋体"/>
                <w:b/>
                <w:bCs/>
                <w:i w:val="0"/>
                <w:iCs w:val="0"/>
                <w:color w:val="auto"/>
                <w:sz w:val="24"/>
                <w:szCs w:val="24"/>
                <w:highlight w:val="none"/>
                <w:u w:val="none"/>
              </w:rPr>
            </w:pPr>
          </w:p>
        </w:tc>
        <w:tc>
          <w:tcPr>
            <w:tcW w:w="590" w:type="dxa"/>
            <w:shd w:val="clear" w:color="auto" w:fill="auto"/>
            <w:vAlign w:val="top"/>
          </w:tcPr>
          <w:p w14:paraId="574CF657">
            <w:pPr>
              <w:pStyle w:val="54"/>
              <w:jc w:val="center"/>
              <w:rPr>
                <w:rFonts w:hint="eastAsia" w:ascii="宋体" w:hAnsi="宋体" w:eastAsia="宋体" w:cs="宋体"/>
                <w:b/>
                <w:bCs/>
                <w:i w:val="0"/>
                <w:iCs w:val="0"/>
                <w:color w:val="auto"/>
                <w:sz w:val="24"/>
                <w:szCs w:val="24"/>
                <w:highlight w:val="none"/>
                <w:u w:val="none"/>
              </w:rPr>
            </w:pPr>
          </w:p>
        </w:tc>
        <w:tc>
          <w:tcPr>
            <w:tcW w:w="940" w:type="dxa"/>
            <w:shd w:val="clear" w:color="auto" w:fill="auto"/>
            <w:vAlign w:val="center"/>
          </w:tcPr>
          <w:p w14:paraId="1557B1EC">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920" w:type="dxa"/>
            <w:shd w:val="clear" w:color="auto" w:fill="auto"/>
            <w:vAlign w:val="center"/>
          </w:tcPr>
          <w:p w14:paraId="0D83E4DA">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990" w:type="dxa"/>
            <w:shd w:val="clear" w:color="auto" w:fill="auto"/>
            <w:vAlign w:val="center"/>
          </w:tcPr>
          <w:p w14:paraId="237D0037">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68FF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698" w:type="dxa"/>
            <w:shd w:val="clear" w:color="auto" w:fill="auto"/>
            <w:noWrap/>
            <w:vAlign w:val="center"/>
          </w:tcPr>
          <w:p w14:paraId="04FAD0EB">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5</w:t>
            </w:r>
          </w:p>
        </w:tc>
        <w:tc>
          <w:tcPr>
            <w:tcW w:w="2446" w:type="dxa"/>
            <w:shd w:val="clear" w:color="auto" w:fill="auto"/>
            <w:vAlign w:val="center"/>
          </w:tcPr>
          <w:p w14:paraId="319A9DE6">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UPS电源</w:t>
            </w:r>
          </w:p>
        </w:tc>
        <w:tc>
          <w:tcPr>
            <w:tcW w:w="1000" w:type="dxa"/>
            <w:shd w:val="clear" w:color="auto" w:fill="auto"/>
            <w:vAlign w:val="center"/>
          </w:tcPr>
          <w:p w14:paraId="307FFBA5">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1</w:t>
            </w:r>
          </w:p>
        </w:tc>
        <w:tc>
          <w:tcPr>
            <w:tcW w:w="944" w:type="dxa"/>
            <w:shd w:val="clear" w:color="auto" w:fill="auto"/>
            <w:vAlign w:val="center"/>
          </w:tcPr>
          <w:p w14:paraId="0C0BD6B3">
            <w:pPr>
              <w:keepNext w:val="0"/>
              <w:keepLines w:val="0"/>
              <w:widowControl/>
              <w:suppressLineNumbers w:val="0"/>
              <w:jc w:val="center"/>
              <w:textAlignment w:val="center"/>
              <w:rPr>
                <w:rFonts w:hint="eastAsia" w:ascii="宋体" w:hAnsi="宋体" w:eastAsia="宋体" w:cs="宋体"/>
                <w:b w:val="0"/>
                <w:bCs/>
                <w:i w:val="0"/>
                <w:iCs w:val="0"/>
                <w:color w:val="auto"/>
                <w:sz w:val="24"/>
                <w:szCs w:val="24"/>
                <w:highlight w:val="none"/>
                <w:u w:val="none"/>
              </w:rPr>
            </w:pPr>
            <w:r>
              <w:rPr>
                <w:rFonts w:hint="eastAsia" w:ascii="宋体" w:hAnsi="宋体" w:eastAsia="宋体" w:cs="宋体"/>
                <w:b w:val="0"/>
                <w:bCs/>
                <w:i w:val="0"/>
                <w:iCs w:val="0"/>
                <w:color w:val="auto"/>
                <w:sz w:val="24"/>
                <w:szCs w:val="24"/>
                <w:highlight w:val="none"/>
                <w:u w:val="none"/>
                <w:lang w:val="en-US" w:eastAsia="zh-CN"/>
              </w:rPr>
              <w:t>套</w:t>
            </w:r>
          </w:p>
        </w:tc>
        <w:tc>
          <w:tcPr>
            <w:tcW w:w="630" w:type="dxa"/>
            <w:shd w:val="clear" w:color="auto" w:fill="auto"/>
            <w:vAlign w:val="top"/>
          </w:tcPr>
          <w:p w14:paraId="228F16D8">
            <w:pPr>
              <w:pStyle w:val="54"/>
              <w:jc w:val="center"/>
              <w:rPr>
                <w:rFonts w:hint="eastAsia" w:ascii="宋体" w:hAnsi="宋体" w:eastAsia="宋体" w:cs="宋体"/>
                <w:b/>
                <w:bCs/>
                <w:i w:val="0"/>
                <w:iCs w:val="0"/>
                <w:color w:val="auto"/>
                <w:sz w:val="24"/>
                <w:szCs w:val="24"/>
                <w:highlight w:val="none"/>
                <w:u w:val="none"/>
              </w:rPr>
            </w:pPr>
          </w:p>
        </w:tc>
        <w:tc>
          <w:tcPr>
            <w:tcW w:w="590" w:type="dxa"/>
            <w:shd w:val="clear" w:color="auto" w:fill="auto"/>
            <w:vAlign w:val="top"/>
          </w:tcPr>
          <w:p w14:paraId="3550B7F8">
            <w:pPr>
              <w:pStyle w:val="54"/>
              <w:jc w:val="center"/>
              <w:rPr>
                <w:rFonts w:hint="eastAsia" w:ascii="宋体" w:hAnsi="宋体" w:eastAsia="宋体" w:cs="宋体"/>
                <w:b/>
                <w:bCs/>
                <w:i w:val="0"/>
                <w:iCs w:val="0"/>
                <w:color w:val="auto"/>
                <w:sz w:val="24"/>
                <w:szCs w:val="24"/>
                <w:highlight w:val="none"/>
                <w:u w:val="none"/>
              </w:rPr>
            </w:pPr>
          </w:p>
        </w:tc>
        <w:tc>
          <w:tcPr>
            <w:tcW w:w="940" w:type="dxa"/>
            <w:shd w:val="clear" w:color="auto" w:fill="auto"/>
            <w:vAlign w:val="center"/>
          </w:tcPr>
          <w:p w14:paraId="7128A611">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920" w:type="dxa"/>
            <w:shd w:val="clear" w:color="auto" w:fill="auto"/>
            <w:vAlign w:val="center"/>
          </w:tcPr>
          <w:p w14:paraId="13C1931C">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990" w:type="dxa"/>
            <w:shd w:val="clear" w:color="auto" w:fill="auto"/>
            <w:vAlign w:val="center"/>
          </w:tcPr>
          <w:p w14:paraId="468F8B33">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0DD0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1" w:hRule="atLeast"/>
        </w:trPr>
        <w:tc>
          <w:tcPr>
            <w:tcW w:w="3144" w:type="dxa"/>
            <w:gridSpan w:val="2"/>
            <w:shd w:val="clear" w:color="auto" w:fill="auto"/>
            <w:noWrap/>
            <w:vAlign w:val="center"/>
          </w:tcPr>
          <w:p w14:paraId="23DCF3B5">
            <w:pPr>
              <w:keepNext w:val="0"/>
              <w:keepLines w:val="0"/>
              <w:widowControl/>
              <w:suppressLineNumbers w:val="0"/>
              <w:shd w:val="clear"/>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单台合计（万元）</w:t>
            </w:r>
          </w:p>
        </w:tc>
        <w:tc>
          <w:tcPr>
            <w:tcW w:w="5024" w:type="dxa"/>
            <w:gridSpan w:val="6"/>
            <w:shd w:val="clear" w:color="auto" w:fill="auto"/>
            <w:vAlign w:val="center"/>
          </w:tcPr>
          <w:p w14:paraId="50F14F1E">
            <w:pPr>
              <w:pStyle w:val="54"/>
              <w:jc w:val="center"/>
              <w:rPr>
                <w:rFonts w:hint="eastAsia" w:ascii="宋体" w:hAnsi="宋体" w:eastAsia="宋体" w:cs="宋体"/>
                <w:color w:val="auto"/>
                <w:sz w:val="24"/>
                <w:szCs w:val="24"/>
                <w:highlight w:val="none"/>
                <w:lang w:val="en-US" w:eastAsia="zh-CN"/>
              </w:rPr>
            </w:pPr>
          </w:p>
        </w:tc>
        <w:tc>
          <w:tcPr>
            <w:tcW w:w="990" w:type="dxa"/>
            <w:shd w:val="clear" w:color="auto" w:fill="auto"/>
            <w:vAlign w:val="center"/>
          </w:tcPr>
          <w:p w14:paraId="0F2AC2B3">
            <w:pPr>
              <w:pStyle w:val="54"/>
              <w:jc w:val="center"/>
              <w:rPr>
                <w:rFonts w:hint="eastAsia" w:ascii="宋体" w:hAnsi="宋体" w:eastAsia="宋体" w:cs="宋体"/>
                <w:color w:val="auto"/>
                <w:sz w:val="24"/>
                <w:szCs w:val="24"/>
                <w:highlight w:val="none"/>
                <w:lang w:val="en-US" w:eastAsia="zh-CN"/>
              </w:rPr>
            </w:pPr>
          </w:p>
        </w:tc>
      </w:tr>
      <w:tr w14:paraId="1A27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4" w:hRule="atLeast"/>
        </w:trPr>
        <w:tc>
          <w:tcPr>
            <w:tcW w:w="8168" w:type="dxa"/>
            <w:gridSpan w:val="8"/>
            <w:shd w:val="clear" w:color="auto" w:fill="auto"/>
            <w:tcMar>
              <w:top w:w="0" w:type="dxa"/>
              <w:left w:w="105" w:type="dxa"/>
              <w:bottom w:w="0" w:type="dxa"/>
              <w:right w:w="105" w:type="dxa"/>
            </w:tcMar>
            <w:vAlign w:val="top"/>
          </w:tcPr>
          <w:p w14:paraId="5FABACDB">
            <w:pPr>
              <w:pStyle w:val="54"/>
              <w:ind w:firstLine="48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注：（1）投标人应按本表格式进行分项报价，且本表只能放在投标文件的报价部分，资格及资信证明部分、技术商务部分不得出现报价信息。</w:t>
            </w:r>
          </w:p>
          <w:p w14:paraId="3E8B02FA">
            <w:pPr>
              <w:pStyle w:val="54"/>
              <w:ind w:firstLine="48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（2）本次招标要求投标人对</w:t>
            </w:r>
            <w:r>
              <w:rPr>
                <w:rFonts w:hint="eastAsia" w:ascii="宋体" w:hAnsi="宋体" w:eastAsia="宋体" w:cs="宋体"/>
                <w:b/>
                <w:bCs/>
                <w:color w:val="auto"/>
                <w:sz w:val="24"/>
                <w:szCs w:val="24"/>
                <w:highlight w:val="none"/>
                <w:lang w:val="en-US" w:eastAsia="zh-CN"/>
              </w:rPr>
              <w:t>同一采购包内</w:t>
            </w:r>
            <w:r>
              <w:rPr>
                <w:rFonts w:hint="eastAsia" w:ascii="宋体" w:hAnsi="宋体" w:eastAsia="宋体" w:cs="宋体"/>
                <w:b/>
                <w:bCs/>
                <w:color w:val="auto"/>
                <w:sz w:val="24"/>
                <w:szCs w:val="24"/>
                <w:highlight w:val="none"/>
              </w:rPr>
              <w:t>所有医院使用同一品牌型号设备进行报价，所报设备单价也必须保持一致。</w:t>
            </w:r>
          </w:p>
          <w:p w14:paraId="29730237">
            <w:pPr>
              <w:pStyle w:val="54"/>
              <w:numPr>
                <w:ilvl w:val="-1"/>
                <w:numId w:val="0"/>
              </w:numPr>
              <w:ind w:firstLine="480" w:firstLineChars="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（3）投标设备单价不得超过</w:t>
            </w:r>
            <w:r>
              <w:rPr>
                <w:rFonts w:hint="eastAsia" w:ascii="宋体" w:hAnsi="宋体" w:eastAsia="宋体" w:cs="宋体"/>
                <w:b/>
                <w:bCs/>
                <w:color w:val="auto"/>
                <w:sz w:val="24"/>
                <w:szCs w:val="24"/>
                <w:highlight w:val="none"/>
                <w:lang w:val="en-US" w:eastAsia="zh-CN"/>
              </w:rPr>
              <w:t>160</w:t>
            </w:r>
            <w:r>
              <w:rPr>
                <w:rFonts w:hint="eastAsia" w:ascii="宋体" w:hAnsi="宋体" w:eastAsia="宋体" w:cs="宋体"/>
                <w:b/>
                <w:bCs/>
                <w:color w:val="auto"/>
                <w:sz w:val="24"/>
                <w:szCs w:val="24"/>
                <w:highlight w:val="none"/>
              </w:rPr>
              <w:t>万元/</w:t>
            </w:r>
            <w:r>
              <w:rPr>
                <w:rFonts w:hint="eastAsia" w:ascii="宋体" w:hAnsi="宋体" w:eastAsia="宋体" w:cs="宋体"/>
                <w:b/>
                <w:bCs/>
                <w:color w:val="auto"/>
                <w:sz w:val="24"/>
                <w:szCs w:val="24"/>
                <w:highlight w:val="none"/>
                <w:lang w:val="en-US" w:eastAsia="zh-CN"/>
              </w:rPr>
              <w:t>台</w:t>
            </w:r>
            <w:r>
              <w:rPr>
                <w:rFonts w:hint="eastAsia" w:ascii="宋体" w:hAnsi="宋体" w:eastAsia="宋体" w:cs="宋体"/>
                <w:b/>
                <w:bCs/>
                <w:color w:val="auto"/>
                <w:sz w:val="24"/>
                <w:szCs w:val="24"/>
                <w:highlight w:val="none"/>
              </w:rPr>
              <w:t>，否则投标无效。</w:t>
            </w:r>
          </w:p>
        </w:tc>
        <w:tc>
          <w:tcPr>
            <w:tcW w:w="990" w:type="dxa"/>
            <w:shd w:val="clear" w:color="auto" w:fill="auto"/>
            <w:tcMar>
              <w:top w:w="0" w:type="dxa"/>
              <w:left w:w="105" w:type="dxa"/>
              <w:bottom w:w="0" w:type="dxa"/>
              <w:right w:w="105" w:type="dxa"/>
            </w:tcMar>
            <w:vAlign w:val="top"/>
          </w:tcPr>
          <w:p w14:paraId="65135394">
            <w:pPr>
              <w:pStyle w:val="54"/>
              <w:numPr>
                <w:ilvl w:val="-1"/>
                <w:numId w:val="0"/>
              </w:numPr>
              <w:ind w:firstLine="480" w:firstLineChars="0"/>
              <w:jc w:val="both"/>
              <w:rPr>
                <w:rFonts w:hint="eastAsia" w:ascii="宋体" w:hAnsi="宋体" w:eastAsia="宋体" w:cs="宋体"/>
                <w:b/>
                <w:bCs/>
                <w:color w:val="auto"/>
                <w:sz w:val="24"/>
                <w:szCs w:val="24"/>
                <w:highlight w:val="none"/>
              </w:rPr>
            </w:pPr>
          </w:p>
        </w:tc>
      </w:tr>
    </w:tbl>
    <w:p w14:paraId="1BFE5165">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lang w:val="en-US" w:eastAsia="zh-CN"/>
        </w:rPr>
        <w:t>10.7</w:t>
      </w:r>
      <w:r>
        <w:rPr>
          <w:rFonts w:ascii="仿宋_GB2312" w:hAnsi="仿宋_GB2312" w:eastAsia="仿宋_GB2312" w:cs="仿宋_GB2312"/>
          <w:b/>
          <w:color w:val="auto"/>
          <w:sz w:val="24"/>
          <w:highlight w:val="none"/>
        </w:rPr>
        <w:t>★</w:t>
      </w:r>
      <w:r>
        <w:rPr>
          <w:rFonts w:hint="eastAsia" w:asciiTheme="minorEastAsia" w:hAnsiTheme="minorEastAsia"/>
          <w:color w:val="auto"/>
          <w:sz w:val="24"/>
          <w:szCs w:val="28"/>
          <w:highlight w:val="none"/>
        </w:rPr>
        <w:t>本项目为设备采购，系统中填写的投标报价仅为设备报价，投标人须根据“专机专用耗材报价表”格式另行提供耗材报价，投标人的专机专用耗材报价超过最高限价或未按要求填报专机专用耗材报价表或专机专用耗材报价表中出现错漏的，视为无效投标。</w:t>
      </w:r>
    </w:p>
    <w:p w14:paraId="56CE377E">
      <w:pPr>
        <w:pStyle w:val="54"/>
        <w:ind w:firstLine="482"/>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专机专用</w:t>
      </w:r>
      <w:r>
        <w:rPr>
          <w:rFonts w:ascii="宋体" w:hAnsi="宋体" w:eastAsia="宋体" w:cs="宋体"/>
          <w:b/>
          <w:color w:val="auto"/>
          <w:sz w:val="24"/>
          <w:szCs w:val="24"/>
          <w:highlight w:val="none"/>
        </w:rPr>
        <w:t>耗材报价表</w:t>
      </w:r>
    </w:p>
    <w:p w14:paraId="1732E773">
      <w:pPr>
        <w:pStyle w:val="54"/>
        <w:ind w:firstLine="482"/>
        <w:jc w:val="center"/>
        <w:rPr>
          <w:rFonts w:ascii="宋体" w:hAnsi="宋体" w:eastAsia="宋体" w:cs="宋体"/>
          <w:b/>
          <w:color w:val="auto"/>
          <w:sz w:val="24"/>
          <w:szCs w:val="24"/>
          <w:highlight w:val="none"/>
        </w:rPr>
      </w:pPr>
    </w:p>
    <w:p w14:paraId="05C7774A">
      <w:pPr>
        <w:pStyle w:val="54"/>
        <w:ind w:firstLine="482"/>
        <w:jc w:val="center"/>
        <w:rPr>
          <w:rFonts w:hint="eastAsia" w:ascii="宋体" w:hAnsi="宋体" w:eastAsia="宋体" w:cs="宋体"/>
          <w:b/>
          <w:color w:val="auto"/>
          <w:sz w:val="24"/>
          <w:szCs w:val="24"/>
          <w:highlight w:val="none"/>
        </w:rPr>
      </w:pPr>
    </w:p>
    <w:tbl>
      <w:tblPr>
        <w:tblStyle w:val="17"/>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703"/>
        <w:gridCol w:w="1920"/>
        <w:gridCol w:w="1000"/>
        <w:gridCol w:w="1000"/>
        <w:gridCol w:w="930"/>
        <w:gridCol w:w="930"/>
        <w:gridCol w:w="880"/>
        <w:gridCol w:w="840"/>
        <w:gridCol w:w="901"/>
      </w:tblGrid>
      <w:tr w14:paraId="5A40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top w:w="0" w:type="dxa"/>
              <w:left w:w="105" w:type="dxa"/>
              <w:bottom w:w="0" w:type="dxa"/>
              <w:right w:w="105" w:type="dxa"/>
            </w:tcMar>
            <w:vAlign w:val="center"/>
          </w:tcPr>
          <w:p w14:paraId="7CE5D918">
            <w:pPr>
              <w:pStyle w:val="54"/>
              <w:ind w:firstLine="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类别</w:t>
            </w:r>
          </w:p>
        </w:tc>
        <w:tc>
          <w:tcPr>
            <w:tcW w:w="703" w:type="dxa"/>
            <w:tcMar>
              <w:top w:w="0" w:type="dxa"/>
              <w:left w:w="105" w:type="dxa"/>
              <w:bottom w:w="0" w:type="dxa"/>
              <w:right w:w="105" w:type="dxa"/>
            </w:tcMar>
            <w:vAlign w:val="center"/>
          </w:tcPr>
          <w:p w14:paraId="2A0FC12F">
            <w:pPr>
              <w:pStyle w:val="54"/>
              <w:ind w:firstLine="0"/>
              <w:jc w:val="center"/>
              <w:rPr>
                <w:rFonts w:ascii="宋体" w:hAnsi="宋体" w:eastAsia="宋体" w:cs="宋体"/>
                <w:color w:val="auto"/>
                <w:sz w:val="24"/>
                <w:szCs w:val="24"/>
                <w:highlight w:val="none"/>
              </w:rPr>
            </w:pPr>
            <w:r>
              <w:rPr>
                <w:rFonts w:ascii="宋体" w:hAnsi="宋体" w:eastAsia="宋体" w:cs="宋体"/>
                <w:b/>
                <w:color w:val="auto"/>
                <w:sz w:val="24"/>
                <w:szCs w:val="24"/>
                <w:highlight w:val="none"/>
              </w:rPr>
              <w:t>序号</w:t>
            </w:r>
          </w:p>
        </w:tc>
        <w:tc>
          <w:tcPr>
            <w:tcW w:w="1920" w:type="dxa"/>
            <w:tcMar>
              <w:top w:w="0" w:type="dxa"/>
              <w:left w:w="105" w:type="dxa"/>
              <w:bottom w:w="0" w:type="dxa"/>
              <w:right w:w="105" w:type="dxa"/>
            </w:tcMar>
            <w:vAlign w:val="center"/>
          </w:tcPr>
          <w:p w14:paraId="4092E172">
            <w:pPr>
              <w:pStyle w:val="54"/>
              <w:ind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项目名称</w:t>
            </w:r>
          </w:p>
        </w:tc>
        <w:tc>
          <w:tcPr>
            <w:tcW w:w="1000" w:type="dxa"/>
            <w:tcMar>
              <w:top w:w="0" w:type="dxa"/>
              <w:left w:w="105" w:type="dxa"/>
              <w:bottom w:w="0" w:type="dxa"/>
              <w:right w:w="105" w:type="dxa"/>
            </w:tcMar>
            <w:vAlign w:val="center"/>
          </w:tcPr>
          <w:p w14:paraId="06C5A132">
            <w:pPr>
              <w:pStyle w:val="54"/>
              <w:ind w:firstLine="0"/>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预计每年测试</w:t>
            </w:r>
            <w:r>
              <w:rPr>
                <w:rFonts w:ascii="宋体" w:hAnsi="宋体" w:eastAsia="宋体" w:cs="宋体"/>
                <w:b/>
                <w:color w:val="auto"/>
                <w:sz w:val="24"/>
                <w:szCs w:val="24"/>
                <w:highlight w:val="none"/>
              </w:rPr>
              <w:t>数</w:t>
            </w:r>
          </w:p>
        </w:tc>
        <w:tc>
          <w:tcPr>
            <w:tcW w:w="1000" w:type="dxa"/>
            <w:tcMar>
              <w:top w:w="0" w:type="dxa"/>
              <w:left w:w="105" w:type="dxa"/>
              <w:bottom w:w="0" w:type="dxa"/>
              <w:right w:w="105" w:type="dxa"/>
            </w:tcMar>
            <w:vAlign w:val="center"/>
          </w:tcPr>
          <w:p w14:paraId="40B62CE2">
            <w:pPr>
              <w:pStyle w:val="54"/>
              <w:ind w:firstLine="0"/>
              <w:jc w:val="center"/>
              <w:rPr>
                <w:rFonts w:ascii="宋体" w:hAnsi="宋体" w:eastAsia="宋体" w:cs="宋体"/>
                <w:color w:val="auto"/>
                <w:sz w:val="24"/>
                <w:szCs w:val="24"/>
                <w:highlight w:val="none"/>
              </w:rPr>
            </w:pPr>
            <w:r>
              <w:rPr>
                <w:rFonts w:ascii="宋体" w:hAnsi="宋体" w:eastAsia="宋体" w:cs="宋体"/>
                <w:b/>
                <w:color w:val="auto"/>
                <w:sz w:val="24"/>
                <w:szCs w:val="24"/>
                <w:highlight w:val="none"/>
              </w:rPr>
              <w:t>单位</w:t>
            </w:r>
          </w:p>
        </w:tc>
        <w:tc>
          <w:tcPr>
            <w:tcW w:w="930" w:type="dxa"/>
            <w:tcMar>
              <w:top w:w="0" w:type="dxa"/>
              <w:left w:w="105" w:type="dxa"/>
              <w:bottom w:w="0" w:type="dxa"/>
              <w:right w:w="105" w:type="dxa"/>
            </w:tcMar>
            <w:vAlign w:val="center"/>
          </w:tcPr>
          <w:p w14:paraId="538F1370">
            <w:pPr>
              <w:pStyle w:val="54"/>
              <w:ind w:firstLine="0"/>
              <w:jc w:val="center"/>
              <w:rPr>
                <w:rFonts w:ascii="宋体" w:hAnsi="宋体" w:eastAsia="宋体" w:cs="宋体"/>
                <w:color w:val="auto"/>
                <w:sz w:val="24"/>
                <w:szCs w:val="24"/>
                <w:highlight w:val="none"/>
              </w:rPr>
            </w:pPr>
            <w:r>
              <w:rPr>
                <w:rFonts w:ascii="宋体" w:hAnsi="宋体" w:eastAsia="宋体" w:cs="宋体"/>
                <w:b/>
                <w:color w:val="auto"/>
                <w:sz w:val="24"/>
                <w:szCs w:val="24"/>
                <w:highlight w:val="none"/>
              </w:rPr>
              <w:t>品牌</w:t>
            </w:r>
          </w:p>
        </w:tc>
        <w:tc>
          <w:tcPr>
            <w:tcW w:w="930" w:type="dxa"/>
            <w:tcMar>
              <w:top w:w="0" w:type="dxa"/>
              <w:left w:w="105" w:type="dxa"/>
              <w:bottom w:w="0" w:type="dxa"/>
              <w:right w:w="105" w:type="dxa"/>
            </w:tcMar>
            <w:vAlign w:val="center"/>
          </w:tcPr>
          <w:p w14:paraId="1B0027C8">
            <w:pPr>
              <w:pStyle w:val="54"/>
              <w:ind w:firstLine="0"/>
              <w:jc w:val="center"/>
              <w:rPr>
                <w:rFonts w:ascii="宋体" w:hAnsi="宋体" w:eastAsia="宋体" w:cs="宋体"/>
                <w:color w:val="auto"/>
                <w:sz w:val="24"/>
                <w:szCs w:val="24"/>
                <w:highlight w:val="none"/>
              </w:rPr>
            </w:pPr>
            <w:r>
              <w:rPr>
                <w:rFonts w:ascii="宋体" w:hAnsi="宋体" w:eastAsia="宋体" w:cs="宋体"/>
                <w:b/>
                <w:color w:val="auto"/>
                <w:sz w:val="24"/>
                <w:szCs w:val="24"/>
                <w:highlight w:val="none"/>
              </w:rPr>
              <w:t>型号</w:t>
            </w:r>
          </w:p>
        </w:tc>
        <w:tc>
          <w:tcPr>
            <w:tcW w:w="880" w:type="dxa"/>
            <w:tcMar>
              <w:top w:w="0" w:type="dxa"/>
              <w:left w:w="105" w:type="dxa"/>
              <w:bottom w:w="0" w:type="dxa"/>
              <w:right w:w="105" w:type="dxa"/>
            </w:tcMar>
            <w:vAlign w:val="center"/>
          </w:tcPr>
          <w:p w14:paraId="16606D10">
            <w:pPr>
              <w:pStyle w:val="54"/>
              <w:ind w:firstLine="0"/>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单价</w:t>
            </w:r>
            <w:r>
              <w:rPr>
                <w:rFonts w:ascii="宋体" w:hAnsi="宋体" w:eastAsia="宋体" w:cs="宋体"/>
                <w:b/>
                <w:color w:val="auto"/>
                <w:sz w:val="24"/>
                <w:szCs w:val="24"/>
                <w:highlight w:val="none"/>
              </w:rPr>
              <w:t>限价</w:t>
            </w:r>
          </w:p>
        </w:tc>
        <w:tc>
          <w:tcPr>
            <w:tcW w:w="840" w:type="dxa"/>
            <w:tcMar>
              <w:top w:w="0" w:type="dxa"/>
              <w:left w:w="105" w:type="dxa"/>
              <w:bottom w:w="0" w:type="dxa"/>
              <w:right w:w="105" w:type="dxa"/>
            </w:tcMar>
            <w:vAlign w:val="center"/>
          </w:tcPr>
          <w:p w14:paraId="7C8B9D0D">
            <w:pPr>
              <w:pStyle w:val="54"/>
              <w:ind w:firstLine="0"/>
              <w:jc w:val="center"/>
              <w:rPr>
                <w:rFonts w:ascii="宋体" w:hAnsi="宋体" w:eastAsia="宋体" w:cs="宋体"/>
                <w:color w:val="auto"/>
                <w:sz w:val="24"/>
                <w:szCs w:val="24"/>
                <w:highlight w:val="none"/>
              </w:rPr>
            </w:pPr>
            <w:r>
              <w:rPr>
                <w:rFonts w:ascii="宋体" w:hAnsi="宋体" w:eastAsia="宋体" w:cs="宋体"/>
                <w:b/>
                <w:color w:val="auto"/>
                <w:sz w:val="24"/>
                <w:szCs w:val="24"/>
                <w:highlight w:val="none"/>
              </w:rPr>
              <w:t>单价（元）</w:t>
            </w:r>
          </w:p>
        </w:tc>
        <w:tc>
          <w:tcPr>
            <w:tcW w:w="901" w:type="dxa"/>
            <w:tcMar>
              <w:top w:w="0" w:type="dxa"/>
              <w:left w:w="105" w:type="dxa"/>
              <w:bottom w:w="0" w:type="dxa"/>
              <w:right w:w="105" w:type="dxa"/>
            </w:tcMar>
            <w:vAlign w:val="center"/>
          </w:tcPr>
          <w:p w14:paraId="565E71CA">
            <w:pPr>
              <w:pStyle w:val="54"/>
              <w:ind w:firstLine="0"/>
              <w:jc w:val="center"/>
              <w:rPr>
                <w:rFonts w:ascii="宋体" w:hAnsi="宋体" w:eastAsia="宋体" w:cs="宋体"/>
                <w:color w:val="auto"/>
                <w:sz w:val="24"/>
                <w:szCs w:val="24"/>
                <w:highlight w:val="none"/>
              </w:rPr>
            </w:pPr>
            <w:r>
              <w:rPr>
                <w:rFonts w:ascii="宋体" w:hAnsi="宋体" w:eastAsia="宋体" w:cs="宋体"/>
                <w:b/>
                <w:color w:val="auto"/>
                <w:sz w:val="24"/>
                <w:szCs w:val="24"/>
                <w:highlight w:val="none"/>
              </w:rPr>
              <w:t>小计（元）</w:t>
            </w:r>
          </w:p>
        </w:tc>
      </w:tr>
      <w:tr w14:paraId="2583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restart"/>
            <w:tcMar>
              <w:top w:w="0" w:type="dxa"/>
              <w:left w:w="105" w:type="dxa"/>
              <w:bottom w:w="0" w:type="dxa"/>
              <w:right w:w="105" w:type="dxa"/>
            </w:tcMar>
            <w:vAlign w:val="center"/>
          </w:tcPr>
          <w:p w14:paraId="5D64C8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微生物试剂</w:t>
            </w:r>
          </w:p>
        </w:tc>
        <w:tc>
          <w:tcPr>
            <w:tcW w:w="703" w:type="dxa"/>
            <w:tcMar>
              <w:top w:w="0" w:type="dxa"/>
              <w:left w:w="105" w:type="dxa"/>
              <w:bottom w:w="0" w:type="dxa"/>
              <w:right w:w="105" w:type="dxa"/>
            </w:tcMar>
            <w:vAlign w:val="center"/>
          </w:tcPr>
          <w:p w14:paraId="32DEF6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0" w:type="dxa"/>
            <w:tcMar>
              <w:top w:w="0" w:type="dxa"/>
              <w:left w:w="105" w:type="dxa"/>
              <w:bottom w:w="0" w:type="dxa"/>
              <w:right w:w="105" w:type="dxa"/>
            </w:tcMar>
            <w:vAlign w:val="center"/>
          </w:tcPr>
          <w:p w14:paraId="71A7BA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质谱系统微生物样本预处理试剂盒</w:t>
            </w:r>
          </w:p>
        </w:tc>
        <w:tc>
          <w:tcPr>
            <w:tcW w:w="1000" w:type="dxa"/>
            <w:tcMar>
              <w:top w:w="0" w:type="dxa"/>
              <w:left w:w="105" w:type="dxa"/>
              <w:bottom w:w="0" w:type="dxa"/>
              <w:right w:w="105" w:type="dxa"/>
            </w:tcMar>
            <w:vAlign w:val="center"/>
          </w:tcPr>
          <w:p w14:paraId="0F0DB5A0">
            <w:pPr>
              <w:pStyle w:val="54"/>
              <w:ind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17000</w:t>
            </w:r>
          </w:p>
        </w:tc>
        <w:tc>
          <w:tcPr>
            <w:tcW w:w="1000" w:type="dxa"/>
            <w:tcMar>
              <w:top w:w="0" w:type="dxa"/>
              <w:left w:w="105" w:type="dxa"/>
              <w:bottom w:w="0" w:type="dxa"/>
              <w:right w:w="105" w:type="dxa"/>
            </w:tcMar>
            <w:vAlign w:val="center"/>
          </w:tcPr>
          <w:p w14:paraId="2EC0B61D">
            <w:pPr>
              <w:pStyle w:val="54"/>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测试</w:t>
            </w:r>
          </w:p>
        </w:tc>
        <w:tc>
          <w:tcPr>
            <w:tcW w:w="930" w:type="dxa"/>
            <w:tcMar>
              <w:top w:w="0" w:type="dxa"/>
              <w:left w:w="105" w:type="dxa"/>
              <w:bottom w:w="0" w:type="dxa"/>
              <w:right w:w="105" w:type="dxa"/>
            </w:tcMar>
            <w:vAlign w:val="center"/>
          </w:tcPr>
          <w:p w14:paraId="32E737CF">
            <w:pPr>
              <w:pStyle w:val="54"/>
              <w:ind w:firstLine="0"/>
              <w:jc w:val="center"/>
              <w:rPr>
                <w:rFonts w:hint="default" w:ascii="宋体" w:hAnsi="宋体" w:eastAsia="宋体" w:cs="宋体"/>
                <w:color w:val="auto"/>
                <w:sz w:val="24"/>
                <w:szCs w:val="24"/>
                <w:highlight w:val="none"/>
                <w:lang w:val="en-US" w:eastAsia="zh-CN"/>
              </w:rPr>
            </w:pPr>
          </w:p>
        </w:tc>
        <w:tc>
          <w:tcPr>
            <w:tcW w:w="930" w:type="dxa"/>
            <w:tcMar>
              <w:top w:w="0" w:type="dxa"/>
              <w:left w:w="105" w:type="dxa"/>
              <w:bottom w:w="0" w:type="dxa"/>
              <w:right w:w="105" w:type="dxa"/>
            </w:tcMar>
            <w:vAlign w:val="center"/>
          </w:tcPr>
          <w:p w14:paraId="44371750">
            <w:pPr>
              <w:jc w:val="center"/>
              <w:rPr>
                <w:rFonts w:hint="eastAsia" w:ascii="宋体" w:hAnsi="宋体" w:eastAsia="宋体" w:cs="宋体"/>
                <w:color w:val="auto"/>
                <w:sz w:val="24"/>
                <w:szCs w:val="24"/>
                <w:highlight w:val="none"/>
              </w:rPr>
            </w:pPr>
          </w:p>
        </w:tc>
        <w:tc>
          <w:tcPr>
            <w:tcW w:w="880" w:type="dxa"/>
            <w:tcMar>
              <w:top w:w="0" w:type="dxa"/>
              <w:left w:w="105" w:type="dxa"/>
              <w:bottom w:w="0" w:type="dxa"/>
              <w:right w:w="105" w:type="dxa"/>
            </w:tcMar>
            <w:vAlign w:val="center"/>
          </w:tcPr>
          <w:p w14:paraId="3BBF7A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ascii="宋体" w:hAnsi="宋体" w:eastAsia="宋体" w:cs="宋体"/>
                <w:color w:val="auto"/>
                <w:sz w:val="24"/>
                <w:szCs w:val="24"/>
                <w:highlight w:val="none"/>
              </w:rPr>
            </w:pPr>
            <w:r>
              <w:rPr>
                <w:rStyle w:val="56"/>
                <w:rFonts w:hint="eastAsia" w:ascii="宋体" w:hAnsi="宋体" w:eastAsia="宋体" w:cs="宋体"/>
                <w:color w:val="auto"/>
                <w:highlight w:val="none"/>
                <w:lang w:val="en-US" w:eastAsia="zh-CN" w:bidi="ar"/>
              </w:rPr>
              <w:t>4</w:t>
            </w:r>
            <w:r>
              <w:rPr>
                <w:rStyle w:val="57"/>
                <w:rFonts w:hint="eastAsia" w:ascii="宋体" w:hAnsi="宋体" w:eastAsia="宋体" w:cs="宋体"/>
                <w:color w:val="auto"/>
                <w:highlight w:val="none"/>
                <w:lang w:val="en-US" w:eastAsia="zh-CN" w:bidi="ar"/>
              </w:rPr>
              <w:t>元</w:t>
            </w:r>
            <w:r>
              <w:rPr>
                <w:rStyle w:val="56"/>
                <w:rFonts w:hint="eastAsia" w:ascii="宋体" w:hAnsi="宋体" w:eastAsia="宋体" w:cs="宋体"/>
                <w:color w:val="auto"/>
                <w:highlight w:val="none"/>
                <w:lang w:val="en-US" w:eastAsia="zh-CN" w:bidi="ar"/>
              </w:rPr>
              <w:t>/</w:t>
            </w:r>
            <w:r>
              <w:rPr>
                <w:rStyle w:val="57"/>
                <w:rFonts w:hint="eastAsia" w:ascii="宋体" w:hAnsi="宋体" w:eastAsia="宋体" w:cs="宋体"/>
                <w:color w:val="auto"/>
                <w:highlight w:val="none"/>
                <w:lang w:val="en-US" w:eastAsia="zh-CN" w:bidi="ar"/>
              </w:rPr>
              <w:t>测试，微生物样本预处理</w:t>
            </w:r>
          </w:p>
        </w:tc>
        <w:tc>
          <w:tcPr>
            <w:tcW w:w="840" w:type="dxa"/>
            <w:tcMar>
              <w:top w:w="0" w:type="dxa"/>
              <w:left w:w="105" w:type="dxa"/>
              <w:bottom w:w="0" w:type="dxa"/>
              <w:right w:w="105" w:type="dxa"/>
            </w:tcMar>
            <w:vAlign w:val="center"/>
          </w:tcPr>
          <w:p w14:paraId="67DB8A13">
            <w:pPr>
              <w:pStyle w:val="54"/>
              <w:ind w:firstLine="0"/>
              <w:jc w:val="center"/>
              <w:rPr>
                <w:rFonts w:ascii="宋体" w:hAnsi="宋体" w:eastAsia="宋体" w:cs="宋体"/>
                <w:color w:val="auto"/>
                <w:sz w:val="24"/>
                <w:szCs w:val="24"/>
                <w:highlight w:val="none"/>
              </w:rPr>
            </w:pPr>
          </w:p>
        </w:tc>
        <w:tc>
          <w:tcPr>
            <w:tcW w:w="901" w:type="dxa"/>
            <w:tcMar>
              <w:top w:w="0" w:type="dxa"/>
              <w:left w:w="105" w:type="dxa"/>
              <w:bottom w:w="0" w:type="dxa"/>
              <w:right w:w="105" w:type="dxa"/>
            </w:tcMar>
            <w:vAlign w:val="center"/>
          </w:tcPr>
          <w:p w14:paraId="08E8D2D1">
            <w:pPr>
              <w:jc w:val="center"/>
              <w:rPr>
                <w:rFonts w:hint="eastAsia" w:ascii="宋体" w:hAnsi="宋体" w:eastAsia="宋体" w:cs="宋体"/>
                <w:color w:val="auto"/>
                <w:sz w:val="24"/>
                <w:szCs w:val="24"/>
                <w:highlight w:val="none"/>
              </w:rPr>
            </w:pPr>
          </w:p>
        </w:tc>
      </w:tr>
      <w:tr w14:paraId="26BE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tcMar>
              <w:top w:w="0" w:type="dxa"/>
              <w:left w:w="105" w:type="dxa"/>
              <w:bottom w:w="0" w:type="dxa"/>
              <w:right w:w="105" w:type="dxa"/>
            </w:tcMar>
            <w:vAlign w:val="center"/>
          </w:tcPr>
          <w:p w14:paraId="0DF10E3A">
            <w:pPr>
              <w:pStyle w:val="54"/>
              <w:jc w:val="center"/>
              <w:rPr>
                <w:rFonts w:ascii="宋体" w:hAnsi="宋体" w:eastAsia="宋体" w:cs="宋体"/>
                <w:color w:val="auto"/>
                <w:sz w:val="24"/>
                <w:szCs w:val="24"/>
                <w:highlight w:val="none"/>
              </w:rPr>
            </w:pPr>
          </w:p>
        </w:tc>
        <w:tc>
          <w:tcPr>
            <w:tcW w:w="703" w:type="dxa"/>
            <w:tcMar>
              <w:top w:w="0" w:type="dxa"/>
              <w:left w:w="105" w:type="dxa"/>
              <w:bottom w:w="0" w:type="dxa"/>
              <w:right w:w="105" w:type="dxa"/>
            </w:tcMar>
            <w:vAlign w:val="center"/>
          </w:tcPr>
          <w:p w14:paraId="707385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Mar>
              <w:top w:w="0" w:type="dxa"/>
              <w:left w:w="105" w:type="dxa"/>
              <w:bottom w:w="0" w:type="dxa"/>
              <w:right w:w="105" w:type="dxa"/>
            </w:tcMar>
            <w:vAlign w:val="center"/>
          </w:tcPr>
          <w:p w14:paraId="492261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质谱系统样本处理基质溶液</w:t>
            </w:r>
          </w:p>
        </w:tc>
        <w:tc>
          <w:tcPr>
            <w:tcW w:w="1000" w:type="dxa"/>
            <w:tcMar>
              <w:top w:w="0" w:type="dxa"/>
              <w:left w:w="105" w:type="dxa"/>
              <w:bottom w:w="0" w:type="dxa"/>
              <w:right w:w="105" w:type="dxa"/>
            </w:tcMar>
            <w:vAlign w:val="center"/>
          </w:tcPr>
          <w:p w14:paraId="5EB3C264">
            <w:pPr>
              <w:pStyle w:val="54"/>
              <w:ind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85000</w:t>
            </w:r>
          </w:p>
        </w:tc>
        <w:tc>
          <w:tcPr>
            <w:tcW w:w="1000" w:type="dxa"/>
            <w:tcMar>
              <w:top w:w="0" w:type="dxa"/>
              <w:left w:w="105" w:type="dxa"/>
              <w:bottom w:w="0" w:type="dxa"/>
              <w:right w:w="105" w:type="dxa"/>
            </w:tcMar>
            <w:vAlign w:val="center"/>
          </w:tcPr>
          <w:p w14:paraId="47AFE229">
            <w:pPr>
              <w:pStyle w:val="54"/>
              <w:ind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测试</w:t>
            </w:r>
          </w:p>
        </w:tc>
        <w:tc>
          <w:tcPr>
            <w:tcW w:w="930" w:type="dxa"/>
            <w:tcMar>
              <w:top w:w="0" w:type="dxa"/>
              <w:left w:w="105" w:type="dxa"/>
              <w:bottom w:w="0" w:type="dxa"/>
              <w:right w:w="105" w:type="dxa"/>
            </w:tcMar>
            <w:vAlign w:val="center"/>
          </w:tcPr>
          <w:p w14:paraId="5D7D083B">
            <w:pPr>
              <w:pStyle w:val="54"/>
              <w:ind w:firstLine="0"/>
              <w:jc w:val="center"/>
              <w:rPr>
                <w:rFonts w:hint="default" w:ascii="宋体" w:hAnsi="宋体" w:eastAsia="宋体" w:cs="宋体"/>
                <w:color w:val="auto"/>
                <w:sz w:val="24"/>
                <w:szCs w:val="24"/>
                <w:highlight w:val="none"/>
                <w:lang w:val="en-US" w:eastAsia="zh-CN"/>
              </w:rPr>
            </w:pPr>
          </w:p>
        </w:tc>
        <w:tc>
          <w:tcPr>
            <w:tcW w:w="930" w:type="dxa"/>
            <w:tcMar>
              <w:top w:w="0" w:type="dxa"/>
              <w:left w:w="105" w:type="dxa"/>
              <w:bottom w:w="0" w:type="dxa"/>
              <w:right w:w="105" w:type="dxa"/>
            </w:tcMar>
            <w:vAlign w:val="center"/>
          </w:tcPr>
          <w:p w14:paraId="5684D029">
            <w:pPr>
              <w:jc w:val="center"/>
              <w:rPr>
                <w:rFonts w:hint="eastAsia" w:ascii="宋体" w:hAnsi="宋体" w:eastAsia="宋体" w:cs="宋体"/>
                <w:color w:val="auto"/>
                <w:sz w:val="24"/>
                <w:szCs w:val="24"/>
                <w:highlight w:val="none"/>
              </w:rPr>
            </w:pPr>
          </w:p>
        </w:tc>
        <w:tc>
          <w:tcPr>
            <w:tcW w:w="880" w:type="dxa"/>
            <w:tcMar>
              <w:top w:w="0" w:type="dxa"/>
              <w:left w:w="105" w:type="dxa"/>
              <w:bottom w:w="0" w:type="dxa"/>
              <w:right w:w="105" w:type="dxa"/>
            </w:tcMar>
            <w:vAlign w:val="center"/>
          </w:tcPr>
          <w:p w14:paraId="3BED3F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ascii="宋体" w:hAnsi="宋体" w:eastAsia="宋体" w:cs="宋体"/>
                <w:color w:val="auto"/>
                <w:sz w:val="24"/>
                <w:szCs w:val="24"/>
                <w:highlight w:val="none"/>
              </w:rPr>
            </w:pPr>
            <w:r>
              <w:rPr>
                <w:rStyle w:val="56"/>
                <w:rFonts w:hint="eastAsia" w:ascii="宋体" w:hAnsi="宋体" w:eastAsia="宋体" w:cs="宋体"/>
                <w:color w:val="auto"/>
                <w:highlight w:val="none"/>
                <w:lang w:val="en-US" w:eastAsia="zh-CN" w:bidi="ar"/>
              </w:rPr>
              <w:t>1.7</w:t>
            </w:r>
            <w:r>
              <w:rPr>
                <w:rStyle w:val="57"/>
                <w:rFonts w:hint="eastAsia" w:ascii="宋体" w:hAnsi="宋体" w:eastAsia="宋体" w:cs="宋体"/>
                <w:color w:val="auto"/>
                <w:highlight w:val="none"/>
                <w:lang w:val="en-US" w:eastAsia="zh-CN" w:bidi="ar"/>
              </w:rPr>
              <w:t>元</w:t>
            </w:r>
            <w:r>
              <w:rPr>
                <w:rStyle w:val="56"/>
                <w:rFonts w:hint="eastAsia" w:ascii="宋体" w:hAnsi="宋体" w:eastAsia="宋体" w:cs="宋体"/>
                <w:color w:val="auto"/>
                <w:highlight w:val="none"/>
                <w:lang w:val="en-US" w:eastAsia="zh-CN" w:bidi="ar"/>
              </w:rPr>
              <w:t>/</w:t>
            </w:r>
            <w:r>
              <w:rPr>
                <w:rStyle w:val="57"/>
                <w:rFonts w:hint="eastAsia" w:ascii="宋体" w:hAnsi="宋体" w:eastAsia="宋体" w:cs="宋体"/>
                <w:color w:val="auto"/>
                <w:highlight w:val="none"/>
                <w:lang w:val="en-US" w:eastAsia="zh-CN" w:bidi="ar"/>
              </w:rPr>
              <w:t>测试，细菌鉴定</w:t>
            </w:r>
          </w:p>
        </w:tc>
        <w:tc>
          <w:tcPr>
            <w:tcW w:w="840" w:type="dxa"/>
            <w:tcMar>
              <w:top w:w="0" w:type="dxa"/>
              <w:left w:w="105" w:type="dxa"/>
              <w:bottom w:w="0" w:type="dxa"/>
              <w:right w:w="105" w:type="dxa"/>
            </w:tcMar>
            <w:vAlign w:val="center"/>
          </w:tcPr>
          <w:p w14:paraId="5A9B807B">
            <w:pPr>
              <w:pStyle w:val="54"/>
              <w:ind w:firstLine="0"/>
              <w:jc w:val="center"/>
              <w:rPr>
                <w:rFonts w:ascii="宋体" w:hAnsi="宋体" w:eastAsia="宋体" w:cs="宋体"/>
                <w:color w:val="auto"/>
                <w:sz w:val="24"/>
                <w:szCs w:val="24"/>
                <w:highlight w:val="none"/>
              </w:rPr>
            </w:pPr>
          </w:p>
        </w:tc>
        <w:tc>
          <w:tcPr>
            <w:tcW w:w="901" w:type="dxa"/>
            <w:tcMar>
              <w:top w:w="0" w:type="dxa"/>
              <w:left w:w="105" w:type="dxa"/>
              <w:bottom w:w="0" w:type="dxa"/>
              <w:right w:w="105" w:type="dxa"/>
            </w:tcMar>
            <w:vAlign w:val="center"/>
          </w:tcPr>
          <w:p w14:paraId="049DB042">
            <w:pPr>
              <w:jc w:val="center"/>
              <w:rPr>
                <w:rFonts w:hint="eastAsia" w:ascii="宋体" w:hAnsi="宋体" w:eastAsia="宋体" w:cs="宋体"/>
                <w:color w:val="auto"/>
                <w:sz w:val="24"/>
                <w:szCs w:val="24"/>
                <w:highlight w:val="none"/>
              </w:rPr>
            </w:pPr>
          </w:p>
        </w:tc>
      </w:tr>
      <w:tr w14:paraId="01DE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tcMar>
              <w:top w:w="0" w:type="dxa"/>
              <w:left w:w="105" w:type="dxa"/>
              <w:bottom w:w="0" w:type="dxa"/>
              <w:right w:w="105" w:type="dxa"/>
            </w:tcMar>
            <w:vAlign w:val="center"/>
          </w:tcPr>
          <w:p w14:paraId="4C90EAEA">
            <w:pPr>
              <w:pStyle w:val="54"/>
              <w:jc w:val="center"/>
              <w:rPr>
                <w:rFonts w:ascii="宋体" w:hAnsi="宋体" w:eastAsia="宋体" w:cs="宋体"/>
                <w:color w:val="auto"/>
                <w:sz w:val="24"/>
                <w:szCs w:val="24"/>
                <w:highlight w:val="none"/>
              </w:rPr>
            </w:pPr>
          </w:p>
        </w:tc>
        <w:tc>
          <w:tcPr>
            <w:tcW w:w="703" w:type="dxa"/>
            <w:tcMar>
              <w:top w:w="0" w:type="dxa"/>
              <w:left w:w="105" w:type="dxa"/>
              <w:bottom w:w="0" w:type="dxa"/>
              <w:right w:w="105" w:type="dxa"/>
            </w:tcMar>
            <w:vAlign w:val="center"/>
          </w:tcPr>
          <w:p w14:paraId="4DE2E4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Mar>
              <w:top w:w="0" w:type="dxa"/>
              <w:left w:w="105" w:type="dxa"/>
              <w:bottom w:w="0" w:type="dxa"/>
              <w:right w:w="105" w:type="dxa"/>
            </w:tcMar>
            <w:vAlign w:val="center"/>
          </w:tcPr>
          <w:p w14:paraId="1232BF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质谱系统霉菌样本预处理试剂盒</w:t>
            </w:r>
          </w:p>
        </w:tc>
        <w:tc>
          <w:tcPr>
            <w:tcW w:w="1000" w:type="dxa"/>
            <w:tcMar>
              <w:top w:w="0" w:type="dxa"/>
              <w:left w:w="105" w:type="dxa"/>
              <w:bottom w:w="0" w:type="dxa"/>
              <w:right w:w="105" w:type="dxa"/>
            </w:tcMar>
            <w:vAlign w:val="center"/>
          </w:tcPr>
          <w:p w14:paraId="51CF3F94">
            <w:pPr>
              <w:pStyle w:val="54"/>
              <w:ind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2500</w:t>
            </w:r>
          </w:p>
        </w:tc>
        <w:tc>
          <w:tcPr>
            <w:tcW w:w="1000" w:type="dxa"/>
            <w:tcMar>
              <w:top w:w="0" w:type="dxa"/>
              <w:left w:w="105" w:type="dxa"/>
              <w:bottom w:w="0" w:type="dxa"/>
              <w:right w:w="105" w:type="dxa"/>
            </w:tcMar>
            <w:vAlign w:val="center"/>
          </w:tcPr>
          <w:p w14:paraId="06DAC3E4">
            <w:pPr>
              <w:pStyle w:val="54"/>
              <w:ind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测试</w:t>
            </w:r>
          </w:p>
        </w:tc>
        <w:tc>
          <w:tcPr>
            <w:tcW w:w="930" w:type="dxa"/>
            <w:tcMar>
              <w:top w:w="0" w:type="dxa"/>
              <w:left w:w="105" w:type="dxa"/>
              <w:bottom w:w="0" w:type="dxa"/>
              <w:right w:w="105" w:type="dxa"/>
            </w:tcMar>
            <w:vAlign w:val="center"/>
          </w:tcPr>
          <w:p w14:paraId="5A6D67E6">
            <w:pPr>
              <w:pStyle w:val="54"/>
              <w:ind w:firstLine="0"/>
              <w:jc w:val="center"/>
              <w:rPr>
                <w:rFonts w:hint="default" w:ascii="宋体" w:hAnsi="宋体" w:eastAsia="宋体" w:cs="宋体"/>
                <w:color w:val="auto"/>
                <w:sz w:val="24"/>
                <w:szCs w:val="24"/>
                <w:highlight w:val="none"/>
                <w:lang w:val="en-US" w:eastAsia="zh-CN"/>
              </w:rPr>
            </w:pPr>
          </w:p>
        </w:tc>
        <w:tc>
          <w:tcPr>
            <w:tcW w:w="930" w:type="dxa"/>
            <w:tcMar>
              <w:top w:w="0" w:type="dxa"/>
              <w:left w:w="105" w:type="dxa"/>
              <w:bottom w:w="0" w:type="dxa"/>
              <w:right w:w="105" w:type="dxa"/>
            </w:tcMar>
            <w:vAlign w:val="center"/>
          </w:tcPr>
          <w:p w14:paraId="2F4DD298">
            <w:pPr>
              <w:jc w:val="center"/>
              <w:rPr>
                <w:rFonts w:hint="eastAsia" w:ascii="宋体" w:hAnsi="宋体" w:eastAsia="宋体" w:cs="宋体"/>
                <w:color w:val="auto"/>
                <w:sz w:val="24"/>
                <w:szCs w:val="24"/>
                <w:highlight w:val="none"/>
              </w:rPr>
            </w:pPr>
          </w:p>
        </w:tc>
        <w:tc>
          <w:tcPr>
            <w:tcW w:w="880" w:type="dxa"/>
            <w:tcMar>
              <w:top w:w="0" w:type="dxa"/>
              <w:left w:w="105" w:type="dxa"/>
              <w:bottom w:w="0" w:type="dxa"/>
              <w:right w:w="105" w:type="dxa"/>
            </w:tcMar>
            <w:vAlign w:val="center"/>
          </w:tcPr>
          <w:p w14:paraId="137B4C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ascii="宋体" w:hAnsi="宋体" w:eastAsia="宋体" w:cs="宋体"/>
                <w:b/>
                <w:color w:val="auto"/>
                <w:sz w:val="24"/>
                <w:szCs w:val="24"/>
                <w:highlight w:val="none"/>
              </w:rPr>
            </w:pPr>
            <w:r>
              <w:rPr>
                <w:rStyle w:val="56"/>
                <w:rFonts w:hint="eastAsia" w:ascii="宋体" w:hAnsi="宋体" w:eastAsia="宋体" w:cs="宋体"/>
                <w:color w:val="auto"/>
                <w:highlight w:val="none"/>
                <w:lang w:val="en-US" w:eastAsia="zh-CN" w:bidi="ar"/>
              </w:rPr>
              <w:t>9.8</w:t>
            </w:r>
            <w:r>
              <w:rPr>
                <w:rStyle w:val="57"/>
                <w:rFonts w:hint="eastAsia" w:ascii="宋体" w:hAnsi="宋体" w:eastAsia="宋体" w:cs="宋体"/>
                <w:color w:val="auto"/>
                <w:highlight w:val="none"/>
                <w:lang w:val="en-US" w:eastAsia="zh-CN" w:bidi="ar"/>
              </w:rPr>
              <w:t>元</w:t>
            </w:r>
            <w:r>
              <w:rPr>
                <w:rStyle w:val="56"/>
                <w:rFonts w:hint="eastAsia" w:ascii="宋体" w:hAnsi="宋体" w:eastAsia="宋体" w:cs="宋体"/>
                <w:color w:val="auto"/>
                <w:highlight w:val="none"/>
                <w:lang w:val="en-US" w:eastAsia="zh-CN" w:bidi="ar"/>
              </w:rPr>
              <w:t>/</w:t>
            </w:r>
            <w:r>
              <w:rPr>
                <w:rStyle w:val="57"/>
                <w:rFonts w:hint="eastAsia" w:ascii="宋体" w:hAnsi="宋体" w:eastAsia="宋体" w:cs="宋体"/>
                <w:color w:val="auto"/>
                <w:highlight w:val="none"/>
                <w:lang w:val="en-US" w:eastAsia="zh-CN" w:bidi="ar"/>
              </w:rPr>
              <w:t>测试，霉菌预处理</w:t>
            </w:r>
          </w:p>
        </w:tc>
        <w:tc>
          <w:tcPr>
            <w:tcW w:w="840" w:type="dxa"/>
            <w:tcMar>
              <w:top w:w="0" w:type="dxa"/>
              <w:left w:w="105" w:type="dxa"/>
              <w:bottom w:w="0" w:type="dxa"/>
              <w:right w:w="105" w:type="dxa"/>
            </w:tcMar>
            <w:vAlign w:val="center"/>
          </w:tcPr>
          <w:p w14:paraId="31EE5629">
            <w:pPr>
              <w:pStyle w:val="54"/>
              <w:ind w:firstLine="0"/>
              <w:jc w:val="center"/>
              <w:rPr>
                <w:rFonts w:ascii="宋体" w:hAnsi="宋体" w:eastAsia="宋体" w:cs="宋体"/>
                <w:color w:val="auto"/>
                <w:sz w:val="24"/>
                <w:szCs w:val="24"/>
                <w:highlight w:val="none"/>
              </w:rPr>
            </w:pPr>
          </w:p>
        </w:tc>
        <w:tc>
          <w:tcPr>
            <w:tcW w:w="901" w:type="dxa"/>
            <w:tcMar>
              <w:top w:w="0" w:type="dxa"/>
              <w:left w:w="105" w:type="dxa"/>
              <w:bottom w:w="0" w:type="dxa"/>
              <w:right w:w="105" w:type="dxa"/>
            </w:tcMar>
            <w:vAlign w:val="center"/>
          </w:tcPr>
          <w:p w14:paraId="3B33A51D">
            <w:pPr>
              <w:jc w:val="center"/>
              <w:rPr>
                <w:rFonts w:hint="eastAsia" w:ascii="宋体" w:hAnsi="宋体" w:eastAsia="宋体" w:cs="宋体"/>
                <w:color w:val="auto"/>
                <w:sz w:val="24"/>
                <w:szCs w:val="24"/>
                <w:highlight w:val="none"/>
              </w:rPr>
            </w:pPr>
          </w:p>
        </w:tc>
      </w:tr>
      <w:tr w14:paraId="7495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tcMar>
              <w:top w:w="0" w:type="dxa"/>
              <w:left w:w="105" w:type="dxa"/>
              <w:bottom w:w="0" w:type="dxa"/>
              <w:right w:w="105" w:type="dxa"/>
            </w:tcMar>
            <w:vAlign w:val="center"/>
          </w:tcPr>
          <w:p w14:paraId="55D04EE7">
            <w:pPr>
              <w:pStyle w:val="54"/>
              <w:jc w:val="center"/>
              <w:rPr>
                <w:rFonts w:ascii="宋体" w:hAnsi="宋体" w:eastAsia="宋体" w:cs="宋体"/>
                <w:color w:val="auto"/>
                <w:sz w:val="24"/>
                <w:szCs w:val="24"/>
                <w:highlight w:val="none"/>
              </w:rPr>
            </w:pPr>
          </w:p>
        </w:tc>
        <w:tc>
          <w:tcPr>
            <w:tcW w:w="703" w:type="dxa"/>
            <w:tcMar>
              <w:top w:w="0" w:type="dxa"/>
              <w:left w:w="105" w:type="dxa"/>
              <w:bottom w:w="0" w:type="dxa"/>
              <w:right w:w="105" w:type="dxa"/>
            </w:tcMar>
            <w:vAlign w:val="center"/>
          </w:tcPr>
          <w:p w14:paraId="5B4BC2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20" w:type="dxa"/>
            <w:tcMar>
              <w:top w:w="0" w:type="dxa"/>
              <w:left w:w="105" w:type="dxa"/>
              <w:bottom w:w="0" w:type="dxa"/>
              <w:right w:w="105" w:type="dxa"/>
            </w:tcMar>
            <w:vAlign w:val="center"/>
          </w:tcPr>
          <w:p w14:paraId="719CA9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质谱系统血培养阳性样本预处理试剂盒</w:t>
            </w:r>
          </w:p>
        </w:tc>
        <w:tc>
          <w:tcPr>
            <w:tcW w:w="1000" w:type="dxa"/>
            <w:tcMar>
              <w:top w:w="0" w:type="dxa"/>
              <w:left w:w="105" w:type="dxa"/>
              <w:bottom w:w="0" w:type="dxa"/>
              <w:right w:w="105" w:type="dxa"/>
            </w:tcMar>
            <w:vAlign w:val="center"/>
          </w:tcPr>
          <w:p w14:paraId="1A97A7F2">
            <w:pPr>
              <w:pStyle w:val="54"/>
              <w:ind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2500</w:t>
            </w:r>
          </w:p>
        </w:tc>
        <w:tc>
          <w:tcPr>
            <w:tcW w:w="1000" w:type="dxa"/>
            <w:tcMar>
              <w:top w:w="0" w:type="dxa"/>
              <w:left w:w="105" w:type="dxa"/>
              <w:bottom w:w="0" w:type="dxa"/>
              <w:right w:w="105" w:type="dxa"/>
            </w:tcMar>
            <w:vAlign w:val="center"/>
          </w:tcPr>
          <w:p w14:paraId="7DDC60C9">
            <w:pPr>
              <w:pStyle w:val="54"/>
              <w:ind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测试</w:t>
            </w:r>
          </w:p>
        </w:tc>
        <w:tc>
          <w:tcPr>
            <w:tcW w:w="930" w:type="dxa"/>
            <w:tcMar>
              <w:top w:w="0" w:type="dxa"/>
              <w:left w:w="105" w:type="dxa"/>
              <w:bottom w:w="0" w:type="dxa"/>
              <w:right w:w="105" w:type="dxa"/>
            </w:tcMar>
            <w:vAlign w:val="center"/>
          </w:tcPr>
          <w:p w14:paraId="1CE7BED0">
            <w:pPr>
              <w:pStyle w:val="54"/>
              <w:ind w:firstLine="0"/>
              <w:jc w:val="center"/>
              <w:rPr>
                <w:rFonts w:hint="default" w:ascii="宋体" w:hAnsi="宋体" w:eastAsia="宋体" w:cs="宋体"/>
                <w:color w:val="auto"/>
                <w:sz w:val="24"/>
                <w:szCs w:val="24"/>
                <w:highlight w:val="none"/>
                <w:lang w:val="en-US" w:eastAsia="zh-CN"/>
              </w:rPr>
            </w:pPr>
          </w:p>
        </w:tc>
        <w:tc>
          <w:tcPr>
            <w:tcW w:w="930" w:type="dxa"/>
            <w:tcMar>
              <w:top w:w="0" w:type="dxa"/>
              <w:left w:w="105" w:type="dxa"/>
              <w:bottom w:w="0" w:type="dxa"/>
              <w:right w:w="105" w:type="dxa"/>
            </w:tcMar>
            <w:vAlign w:val="center"/>
          </w:tcPr>
          <w:p w14:paraId="522D5C5A">
            <w:pPr>
              <w:jc w:val="center"/>
              <w:rPr>
                <w:rFonts w:hint="eastAsia" w:ascii="宋体" w:hAnsi="宋体" w:eastAsia="宋体" w:cs="宋体"/>
                <w:color w:val="auto"/>
                <w:sz w:val="24"/>
                <w:szCs w:val="24"/>
                <w:highlight w:val="none"/>
              </w:rPr>
            </w:pPr>
          </w:p>
        </w:tc>
        <w:tc>
          <w:tcPr>
            <w:tcW w:w="880" w:type="dxa"/>
            <w:tcMar>
              <w:top w:w="0" w:type="dxa"/>
              <w:left w:w="105" w:type="dxa"/>
              <w:bottom w:w="0" w:type="dxa"/>
              <w:right w:w="105" w:type="dxa"/>
            </w:tcMar>
            <w:vAlign w:val="center"/>
          </w:tcPr>
          <w:p w14:paraId="0D0E76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ascii="宋体" w:hAnsi="宋体" w:eastAsia="宋体" w:cs="宋体"/>
                <w:b/>
                <w:color w:val="auto"/>
                <w:sz w:val="24"/>
                <w:szCs w:val="24"/>
                <w:highlight w:val="none"/>
              </w:rPr>
            </w:pPr>
            <w:r>
              <w:rPr>
                <w:rStyle w:val="56"/>
                <w:rFonts w:hint="eastAsia" w:ascii="宋体" w:hAnsi="宋体" w:eastAsia="宋体" w:cs="宋体"/>
                <w:color w:val="auto"/>
                <w:highlight w:val="none"/>
                <w:lang w:val="en-US" w:eastAsia="zh-CN" w:bidi="ar"/>
              </w:rPr>
              <w:t>19.6</w:t>
            </w:r>
            <w:r>
              <w:rPr>
                <w:rStyle w:val="57"/>
                <w:rFonts w:hint="eastAsia" w:ascii="宋体" w:hAnsi="宋体" w:eastAsia="宋体" w:cs="宋体"/>
                <w:color w:val="auto"/>
                <w:highlight w:val="none"/>
                <w:lang w:val="en-US" w:eastAsia="zh-CN" w:bidi="ar"/>
              </w:rPr>
              <w:t>元</w:t>
            </w:r>
            <w:r>
              <w:rPr>
                <w:rStyle w:val="56"/>
                <w:rFonts w:hint="eastAsia" w:ascii="宋体" w:hAnsi="宋体" w:eastAsia="宋体" w:cs="宋体"/>
                <w:color w:val="auto"/>
                <w:highlight w:val="none"/>
                <w:lang w:val="en-US" w:eastAsia="zh-CN" w:bidi="ar"/>
              </w:rPr>
              <w:t>/</w:t>
            </w:r>
            <w:r>
              <w:rPr>
                <w:rStyle w:val="57"/>
                <w:rFonts w:hint="eastAsia" w:ascii="宋体" w:hAnsi="宋体" w:eastAsia="宋体" w:cs="宋体"/>
                <w:color w:val="auto"/>
                <w:highlight w:val="none"/>
                <w:lang w:val="en-US" w:eastAsia="zh-CN" w:bidi="ar"/>
              </w:rPr>
              <w:t>测试，血培养阳性样本</w:t>
            </w:r>
          </w:p>
        </w:tc>
        <w:tc>
          <w:tcPr>
            <w:tcW w:w="840" w:type="dxa"/>
            <w:tcMar>
              <w:top w:w="0" w:type="dxa"/>
              <w:left w:w="105" w:type="dxa"/>
              <w:bottom w:w="0" w:type="dxa"/>
              <w:right w:w="105" w:type="dxa"/>
            </w:tcMar>
            <w:vAlign w:val="center"/>
          </w:tcPr>
          <w:p w14:paraId="0313FAC2">
            <w:pPr>
              <w:pStyle w:val="54"/>
              <w:ind w:firstLine="0"/>
              <w:jc w:val="center"/>
              <w:rPr>
                <w:rFonts w:ascii="宋体" w:hAnsi="宋体" w:eastAsia="宋体" w:cs="宋体"/>
                <w:color w:val="auto"/>
                <w:sz w:val="24"/>
                <w:szCs w:val="24"/>
                <w:highlight w:val="none"/>
              </w:rPr>
            </w:pPr>
          </w:p>
        </w:tc>
        <w:tc>
          <w:tcPr>
            <w:tcW w:w="901" w:type="dxa"/>
            <w:tcMar>
              <w:top w:w="0" w:type="dxa"/>
              <w:left w:w="105" w:type="dxa"/>
              <w:bottom w:w="0" w:type="dxa"/>
              <w:right w:w="105" w:type="dxa"/>
            </w:tcMar>
            <w:vAlign w:val="center"/>
          </w:tcPr>
          <w:p w14:paraId="382B0345">
            <w:pPr>
              <w:jc w:val="center"/>
              <w:rPr>
                <w:rFonts w:hint="eastAsia" w:ascii="宋体" w:hAnsi="宋体" w:eastAsia="宋体" w:cs="宋体"/>
                <w:color w:val="auto"/>
                <w:sz w:val="24"/>
                <w:szCs w:val="24"/>
                <w:highlight w:val="none"/>
              </w:rPr>
            </w:pPr>
          </w:p>
        </w:tc>
      </w:tr>
      <w:tr w14:paraId="4468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tcMar>
              <w:top w:w="0" w:type="dxa"/>
              <w:left w:w="105" w:type="dxa"/>
              <w:bottom w:w="0" w:type="dxa"/>
              <w:right w:w="105" w:type="dxa"/>
            </w:tcMar>
            <w:vAlign w:val="center"/>
          </w:tcPr>
          <w:p w14:paraId="103C8215">
            <w:pPr>
              <w:pStyle w:val="54"/>
              <w:jc w:val="center"/>
              <w:rPr>
                <w:rFonts w:ascii="宋体" w:hAnsi="宋体" w:eastAsia="宋体" w:cs="宋体"/>
                <w:color w:val="auto"/>
                <w:sz w:val="24"/>
                <w:szCs w:val="24"/>
                <w:highlight w:val="none"/>
              </w:rPr>
            </w:pPr>
          </w:p>
        </w:tc>
        <w:tc>
          <w:tcPr>
            <w:tcW w:w="703" w:type="dxa"/>
            <w:tcMar>
              <w:top w:w="0" w:type="dxa"/>
              <w:left w:w="105" w:type="dxa"/>
              <w:bottom w:w="0" w:type="dxa"/>
              <w:right w:w="105" w:type="dxa"/>
            </w:tcMar>
            <w:vAlign w:val="center"/>
          </w:tcPr>
          <w:p w14:paraId="32E7C5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920" w:type="dxa"/>
            <w:tcMar>
              <w:top w:w="0" w:type="dxa"/>
              <w:left w:w="105" w:type="dxa"/>
              <w:bottom w:w="0" w:type="dxa"/>
              <w:right w:w="105" w:type="dxa"/>
            </w:tcMar>
            <w:vAlign w:val="center"/>
          </w:tcPr>
          <w:p w14:paraId="04A911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质谱系统样本预处理溶液</w:t>
            </w:r>
          </w:p>
        </w:tc>
        <w:tc>
          <w:tcPr>
            <w:tcW w:w="1000" w:type="dxa"/>
            <w:tcMar>
              <w:top w:w="0" w:type="dxa"/>
              <w:left w:w="105" w:type="dxa"/>
              <w:bottom w:w="0" w:type="dxa"/>
              <w:right w:w="105" w:type="dxa"/>
            </w:tcMar>
            <w:vAlign w:val="center"/>
          </w:tcPr>
          <w:p w14:paraId="6535FAC4">
            <w:pPr>
              <w:pStyle w:val="54"/>
              <w:ind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5000</w:t>
            </w:r>
          </w:p>
        </w:tc>
        <w:tc>
          <w:tcPr>
            <w:tcW w:w="1000" w:type="dxa"/>
            <w:tcMar>
              <w:top w:w="0" w:type="dxa"/>
              <w:left w:w="105" w:type="dxa"/>
              <w:bottom w:w="0" w:type="dxa"/>
              <w:right w:w="105" w:type="dxa"/>
            </w:tcMar>
            <w:vAlign w:val="center"/>
          </w:tcPr>
          <w:p w14:paraId="4160EE3A">
            <w:pPr>
              <w:pStyle w:val="54"/>
              <w:ind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测试</w:t>
            </w:r>
          </w:p>
        </w:tc>
        <w:tc>
          <w:tcPr>
            <w:tcW w:w="930" w:type="dxa"/>
            <w:tcMar>
              <w:top w:w="0" w:type="dxa"/>
              <w:left w:w="105" w:type="dxa"/>
              <w:bottom w:w="0" w:type="dxa"/>
              <w:right w:w="105" w:type="dxa"/>
            </w:tcMar>
            <w:vAlign w:val="center"/>
          </w:tcPr>
          <w:p w14:paraId="0C986635">
            <w:pPr>
              <w:pStyle w:val="54"/>
              <w:ind w:firstLine="0"/>
              <w:jc w:val="center"/>
              <w:rPr>
                <w:rFonts w:hint="default" w:ascii="宋体" w:hAnsi="宋体" w:eastAsia="宋体" w:cs="宋体"/>
                <w:color w:val="auto"/>
                <w:sz w:val="24"/>
                <w:szCs w:val="24"/>
                <w:highlight w:val="none"/>
                <w:lang w:val="en-US" w:eastAsia="zh-CN"/>
              </w:rPr>
            </w:pPr>
          </w:p>
        </w:tc>
        <w:tc>
          <w:tcPr>
            <w:tcW w:w="930" w:type="dxa"/>
            <w:tcMar>
              <w:top w:w="0" w:type="dxa"/>
              <w:left w:w="105" w:type="dxa"/>
              <w:bottom w:w="0" w:type="dxa"/>
              <w:right w:w="105" w:type="dxa"/>
            </w:tcMar>
            <w:vAlign w:val="center"/>
          </w:tcPr>
          <w:p w14:paraId="64C39E97">
            <w:pPr>
              <w:jc w:val="center"/>
              <w:rPr>
                <w:rFonts w:hint="eastAsia" w:ascii="宋体" w:hAnsi="宋体" w:eastAsia="宋体" w:cs="宋体"/>
                <w:color w:val="auto"/>
                <w:sz w:val="24"/>
                <w:szCs w:val="24"/>
                <w:highlight w:val="none"/>
              </w:rPr>
            </w:pPr>
          </w:p>
        </w:tc>
        <w:tc>
          <w:tcPr>
            <w:tcW w:w="880" w:type="dxa"/>
            <w:tcMar>
              <w:top w:w="0" w:type="dxa"/>
              <w:left w:w="105" w:type="dxa"/>
              <w:bottom w:w="0" w:type="dxa"/>
              <w:right w:w="105" w:type="dxa"/>
            </w:tcMar>
            <w:vAlign w:val="center"/>
          </w:tcPr>
          <w:p w14:paraId="0A59B8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ascii="宋体" w:hAnsi="宋体" w:eastAsia="宋体" w:cs="宋体"/>
                <w:b/>
                <w:color w:val="auto"/>
                <w:sz w:val="24"/>
                <w:szCs w:val="24"/>
                <w:highlight w:val="none"/>
              </w:rPr>
            </w:pPr>
            <w:r>
              <w:rPr>
                <w:rStyle w:val="56"/>
                <w:rFonts w:hint="eastAsia" w:ascii="宋体" w:hAnsi="宋体" w:eastAsia="宋体" w:cs="宋体"/>
                <w:color w:val="auto"/>
                <w:highlight w:val="none"/>
                <w:lang w:val="en-US" w:eastAsia="zh-CN" w:bidi="ar"/>
              </w:rPr>
              <w:t>1.7</w:t>
            </w:r>
            <w:r>
              <w:rPr>
                <w:rStyle w:val="57"/>
                <w:rFonts w:hint="eastAsia" w:ascii="宋体" w:hAnsi="宋体" w:eastAsia="宋体" w:cs="宋体"/>
                <w:color w:val="auto"/>
                <w:highlight w:val="none"/>
                <w:lang w:val="en-US" w:eastAsia="zh-CN" w:bidi="ar"/>
              </w:rPr>
              <w:t>元</w:t>
            </w:r>
            <w:r>
              <w:rPr>
                <w:rStyle w:val="56"/>
                <w:rFonts w:hint="eastAsia" w:ascii="宋体" w:hAnsi="宋体" w:eastAsia="宋体" w:cs="宋体"/>
                <w:color w:val="auto"/>
                <w:highlight w:val="none"/>
                <w:lang w:val="en-US" w:eastAsia="zh-CN" w:bidi="ar"/>
              </w:rPr>
              <w:t>/</w:t>
            </w:r>
            <w:r>
              <w:rPr>
                <w:rStyle w:val="57"/>
                <w:rFonts w:hint="eastAsia" w:ascii="宋体" w:hAnsi="宋体" w:eastAsia="宋体" w:cs="宋体"/>
                <w:color w:val="auto"/>
                <w:highlight w:val="none"/>
                <w:lang w:val="en-US" w:eastAsia="zh-CN" w:bidi="ar"/>
              </w:rPr>
              <w:t>测试，样本预处理</w:t>
            </w:r>
          </w:p>
        </w:tc>
        <w:tc>
          <w:tcPr>
            <w:tcW w:w="840" w:type="dxa"/>
            <w:tcMar>
              <w:top w:w="0" w:type="dxa"/>
              <w:left w:w="105" w:type="dxa"/>
              <w:bottom w:w="0" w:type="dxa"/>
              <w:right w:w="105" w:type="dxa"/>
            </w:tcMar>
            <w:vAlign w:val="center"/>
          </w:tcPr>
          <w:p w14:paraId="6C28CF5C">
            <w:pPr>
              <w:pStyle w:val="54"/>
              <w:ind w:firstLine="0"/>
              <w:jc w:val="center"/>
              <w:rPr>
                <w:rFonts w:ascii="宋体" w:hAnsi="宋体" w:eastAsia="宋体" w:cs="宋体"/>
                <w:color w:val="auto"/>
                <w:sz w:val="24"/>
                <w:szCs w:val="24"/>
                <w:highlight w:val="none"/>
              </w:rPr>
            </w:pPr>
          </w:p>
        </w:tc>
        <w:tc>
          <w:tcPr>
            <w:tcW w:w="901" w:type="dxa"/>
            <w:tcMar>
              <w:top w:w="0" w:type="dxa"/>
              <w:left w:w="105" w:type="dxa"/>
              <w:bottom w:w="0" w:type="dxa"/>
              <w:right w:w="105" w:type="dxa"/>
            </w:tcMar>
            <w:vAlign w:val="center"/>
          </w:tcPr>
          <w:p w14:paraId="057899CB">
            <w:pPr>
              <w:jc w:val="center"/>
              <w:rPr>
                <w:rFonts w:hint="eastAsia" w:ascii="宋体" w:hAnsi="宋体" w:eastAsia="宋体" w:cs="宋体"/>
                <w:color w:val="auto"/>
                <w:sz w:val="24"/>
                <w:szCs w:val="24"/>
                <w:highlight w:val="none"/>
              </w:rPr>
            </w:pPr>
          </w:p>
        </w:tc>
      </w:tr>
      <w:tr w14:paraId="589A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restart"/>
            <w:tcMar>
              <w:top w:w="0" w:type="dxa"/>
              <w:left w:w="105" w:type="dxa"/>
              <w:bottom w:w="0" w:type="dxa"/>
              <w:right w:w="105" w:type="dxa"/>
            </w:tcMar>
            <w:vAlign w:val="center"/>
          </w:tcPr>
          <w:p w14:paraId="33444A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核酸质谱试剂</w:t>
            </w:r>
          </w:p>
        </w:tc>
        <w:tc>
          <w:tcPr>
            <w:tcW w:w="703" w:type="dxa"/>
            <w:tcMar>
              <w:top w:w="0" w:type="dxa"/>
              <w:left w:w="105" w:type="dxa"/>
              <w:bottom w:w="0" w:type="dxa"/>
              <w:right w:w="105" w:type="dxa"/>
            </w:tcMar>
            <w:vAlign w:val="center"/>
          </w:tcPr>
          <w:p w14:paraId="48D0DB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920" w:type="dxa"/>
            <w:tcMar>
              <w:top w:w="0" w:type="dxa"/>
              <w:left w:w="105" w:type="dxa"/>
              <w:bottom w:w="0" w:type="dxa"/>
              <w:right w:w="105" w:type="dxa"/>
            </w:tcMar>
            <w:vAlign w:val="center"/>
          </w:tcPr>
          <w:p w14:paraId="692641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样本核酸纯化试剂(飞行时间质谱法)</w:t>
            </w:r>
          </w:p>
        </w:tc>
        <w:tc>
          <w:tcPr>
            <w:tcW w:w="1000" w:type="dxa"/>
            <w:tcMar>
              <w:top w:w="0" w:type="dxa"/>
              <w:left w:w="105" w:type="dxa"/>
              <w:bottom w:w="0" w:type="dxa"/>
              <w:right w:w="105" w:type="dxa"/>
            </w:tcMar>
            <w:vAlign w:val="center"/>
          </w:tcPr>
          <w:p w14:paraId="397C10CE">
            <w:pPr>
              <w:pStyle w:val="54"/>
              <w:ind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1920</w:t>
            </w:r>
          </w:p>
        </w:tc>
        <w:tc>
          <w:tcPr>
            <w:tcW w:w="1000" w:type="dxa"/>
            <w:tcMar>
              <w:top w:w="0" w:type="dxa"/>
              <w:left w:w="105" w:type="dxa"/>
              <w:bottom w:w="0" w:type="dxa"/>
              <w:right w:w="105" w:type="dxa"/>
            </w:tcMar>
            <w:vAlign w:val="center"/>
          </w:tcPr>
          <w:p w14:paraId="3DC0255D">
            <w:pPr>
              <w:pStyle w:val="54"/>
              <w:ind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测试</w:t>
            </w:r>
          </w:p>
        </w:tc>
        <w:tc>
          <w:tcPr>
            <w:tcW w:w="930" w:type="dxa"/>
            <w:tcMar>
              <w:top w:w="0" w:type="dxa"/>
              <w:left w:w="105" w:type="dxa"/>
              <w:bottom w:w="0" w:type="dxa"/>
              <w:right w:w="105" w:type="dxa"/>
            </w:tcMar>
            <w:vAlign w:val="center"/>
          </w:tcPr>
          <w:p w14:paraId="1D0BDA50">
            <w:pPr>
              <w:pStyle w:val="54"/>
              <w:ind w:firstLine="0"/>
              <w:jc w:val="center"/>
              <w:rPr>
                <w:rFonts w:hint="default" w:ascii="宋体" w:hAnsi="宋体" w:eastAsia="宋体" w:cs="宋体"/>
                <w:color w:val="auto"/>
                <w:sz w:val="24"/>
                <w:szCs w:val="24"/>
                <w:highlight w:val="none"/>
                <w:lang w:val="en-US" w:eastAsia="zh-CN"/>
              </w:rPr>
            </w:pPr>
          </w:p>
        </w:tc>
        <w:tc>
          <w:tcPr>
            <w:tcW w:w="930" w:type="dxa"/>
            <w:tcMar>
              <w:top w:w="0" w:type="dxa"/>
              <w:left w:w="105" w:type="dxa"/>
              <w:bottom w:w="0" w:type="dxa"/>
              <w:right w:w="105" w:type="dxa"/>
            </w:tcMar>
            <w:vAlign w:val="center"/>
          </w:tcPr>
          <w:p w14:paraId="39737C20">
            <w:pPr>
              <w:jc w:val="center"/>
              <w:rPr>
                <w:rFonts w:hint="eastAsia" w:ascii="宋体" w:hAnsi="宋体" w:eastAsia="宋体" w:cs="宋体"/>
                <w:color w:val="auto"/>
                <w:sz w:val="24"/>
                <w:szCs w:val="24"/>
                <w:highlight w:val="none"/>
              </w:rPr>
            </w:pPr>
          </w:p>
        </w:tc>
        <w:tc>
          <w:tcPr>
            <w:tcW w:w="880" w:type="dxa"/>
            <w:tcMar>
              <w:top w:w="0" w:type="dxa"/>
              <w:left w:w="105" w:type="dxa"/>
              <w:bottom w:w="0" w:type="dxa"/>
              <w:right w:w="105" w:type="dxa"/>
            </w:tcMar>
            <w:vAlign w:val="center"/>
          </w:tcPr>
          <w:p w14:paraId="7B8FEA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ascii="宋体" w:hAnsi="宋体" w:eastAsia="宋体" w:cs="宋体"/>
                <w:b/>
                <w:color w:val="auto"/>
                <w:sz w:val="24"/>
                <w:szCs w:val="24"/>
                <w:highlight w:val="none"/>
              </w:rPr>
            </w:pPr>
            <w:r>
              <w:rPr>
                <w:rStyle w:val="56"/>
                <w:rFonts w:hint="eastAsia" w:ascii="宋体" w:hAnsi="宋体" w:eastAsia="宋体" w:cs="宋体"/>
                <w:color w:val="auto"/>
                <w:highlight w:val="none"/>
                <w:lang w:val="en-US" w:eastAsia="zh-CN" w:bidi="ar"/>
              </w:rPr>
              <w:t>51.667</w:t>
            </w:r>
            <w:r>
              <w:rPr>
                <w:rStyle w:val="57"/>
                <w:rFonts w:hint="eastAsia" w:ascii="宋体" w:hAnsi="宋体" w:eastAsia="宋体" w:cs="宋体"/>
                <w:color w:val="auto"/>
                <w:highlight w:val="none"/>
                <w:lang w:val="en-US" w:eastAsia="zh-CN" w:bidi="ar"/>
              </w:rPr>
              <w:t>元</w:t>
            </w:r>
            <w:r>
              <w:rPr>
                <w:rStyle w:val="56"/>
                <w:rFonts w:hint="eastAsia" w:ascii="宋体" w:hAnsi="宋体" w:eastAsia="宋体" w:cs="宋体"/>
                <w:color w:val="auto"/>
                <w:highlight w:val="none"/>
                <w:lang w:val="en-US" w:eastAsia="zh-CN" w:bidi="ar"/>
              </w:rPr>
              <w:t>/</w:t>
            </w:r>
            <w:r>
              <w:rPr>
                <w:rStyle w:val="57"/>
                <w:rFonts w:hint="eastAsia" w:ascii="宋体" w:hAnsi="宋体" w:eastAsia="宋体" w:cs="宋体"/>
                <w:color w:val="auto"/>
                <w:highlight w:val="none"/>
                <w:lang w:val="en-US" w:eastAsia="zh-CN" w:bidi="ar"/>
              </w:rPr>
              <w:t>测试</w:t>
            </w:r>
          </w:p>
        </w:tc>
        <w:tc>
          <w:tcPr>
            <w:tcW w:w="840" w:type="dxa"/>
            <w:tcMar>
              <w:top w:w="0" w:type="dxa"/>
              <w:left w:w="105" w:type="dxa"/>
              <w:bottom w:w="0" w:type="dxa"/>
              <w:right w:w="105" w:type="dxa"/>
            </w:tcMar>
            <w:vAlign w:val="center"/>
          </w:tcPr>
          <w:p w14:paraId="069744C8">
            <w:pPr>
              <w:pStyle w:val="54"/>
              <w:ind w:firstLine="0"/>
              <w:jc w:val="center"/>
              <w:rPr>
                <w:rFonts w:ascii="宋体" w:hAnsi="宋体" w:eastAsia="宋体" w:cs="宋体"/>
                <w:color w:val="auto"/>
                <w:sz w:val="24"/>
                <w:szCs w:val="24"/>
                <w:highlight w:val="none"/>
              </w:rPr>
            </w:pPr>
          </w:p>
        </w:tc>
        <w:tc>
          <w:tcPr>
            <w:tcW w:w="901" w:type="dxa"/>
            <w:tcMar>
              <w:top w:w="0" w:type="dxa"/>
              <w:left w:w="105" w:type="dxa"/>
              <w:bottom w:w="0" w:type="dxa"/>
              <w:right w:w="105" w:type="dxa"/>
            </w:tcMar>
            <w:vAlign w:val="center"/>
          </w:tcPr>
          <w:p w14:paraId="386F71FB">
            <w:pPr>
              <w:jc w:val="center"/>
              <w:rPr>
                <w:rFonts w:hint="eastAsia" w:ascii="宋体" w:hAnsi="宋体" w:eastAsia="宋体" w:cs="宋体"/>
                <w:color w:val="auto"/>
                <w:sz w:val="24"/>
                <w:szCs w:val="24"/>
                <w:highlight w:val="none"/>
              </w:rPr>
            </w:pPr>
          </w:p>
        </w:tc>
      </w:tr>
      <w:tr w14:paraId="1DB8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tcMar>
              <w:top w:w="0" w:type="dxa"/>
              <w:left w:w="105" w:type="dxa"/>
              <w:bottom w:w="0" w:type="dxa"/>
              <w:right w:w="105" w:type="dxa"/>
            </w:tcMar>
            <w:vAlign w:val="center"/>
          </w:tcPr>
          <w:p w14:paraId="492C93DD">
            <w:pPr>
              <w:pStyle w:val="54"/>
              <w:jc w:val="center"/>
              <w:rPr>
                <w:rFonts w:ascii="宋体" w:hAnsi="宋体" w:eastAsia="宋体" w:cs="宋体"/>
                <w:color w:val="auto"/>
                <w:sz w:val="24"/>
                <w:szCs w:val="24"/>
                <w:highlight w:val="none"/>
              </w:rPr>
            </w:pPr>
          </w:p>
        </w:tc>
        <w:tc>
          <w:tcPr>
            <w:tcW w:w="703" w:type="dxa"/>
            <w:tcMar>
              <w:top w:w="0" w:type="dxa"/>
              <w:left w:w="105" w:type="dxa"/>
              <w:bottom w:w="0" w:type="dxa"/>
              <w:right w:w="105" w:type="dxa"/>
            </w:tcMar>
            <w:vAlign w:val="center"/>
          </w:tcPr>
          <w:p w14:paraId="35EA22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920" w:type="dxa"/>
            <w:tcMar>
              <w:top w:w="0" w:type="dxa"/>
              <w:left w:w="105" w:type="dxa"/>
              <w:bottom w:w="0" w:type="dxa"/>
              <w:right w:w="105" w:type="dxa"/>
            </w:tcMar>
            <w:vAlign w:val="center"/>
          </w:tcPr>
          <w:p w14:paraId="73AC3D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飞行时间质谱系统用校准品</w:t>
            </w:r>
          </w:p>
        </w:tc>
        <w:tc>
          <w:tcPr>
            <w:tcW w:w="1000" w:type="dxa"/>
            <w:tcMar>
              <w:top w:w="0" w:type="dxa"/>
              <w:left w:w="105" w:type="dxa"/>
              <w:bottom w:w="0" w:type="dxa"/>
              <w:right w:w="105" w:type="dxa"/>
            </w:tcMar>
            <w:vAlign w:val="center"/>
          </w:tcPr>
          <w:p w14:paraId="665CA74F">
            <w:pPr>
              <w:pStyle w:val="54"/>
              <w:ind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1920</w:t>
            </w:r>
          </w:p>
        </w:tc>
        <w:tc>
          <w:tcPr>
            <w:tcW w:w="1000" w:type="dxa"/>
            <w:tcMar>
              <w:top w:w="0" w:type="dxa"/>
              <w:left w:w="105" w:type="dxa"/>
              <w:bottom w:w="0" w:type="dxa"/>
              <w:right w:w="105" w:type="dxa"/>
            </w:tcMar>
            <w:vAlign w:val="center"/>
          </w:tcPr>
          <w:p w14:paraId="71B3EE4D">
            <w:pPr>
              <w:pStyle w:val="54"/>
              <w:ind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测试</w:t>
            </w:r>
          </w:p>
        </w:tc>
        <w:tc>
          <w:tcPr>
            <w:tcW w:w="930" w:type="dxa"/>
            <w:tcMar>
              <w:top w:w="0" w:type="dxa"/>
              <w:left w:w="105" w:type="dxa"/>
              <w:bottom w:w="0" w:type="dxa"/>
              <w:right w:w="105" w:type="dxa"/>
            </w:tcMar>
            <w:vAlign w:val="center"/>
          </w:tcPr>
          <w:p w14:paraId="3CA038E9">
            <w:pPr>
              <w:pStyle w:val="54"/>
              <w:ind w:firstLine="0"/>
              <w:jc w:val="center"/>
              <w:rPr>
                <w:rFonts w:hint="default" w:ascii="宋体" w:hAnsi="宋体" w:eastAsia="宋体" w:cs="宋体"/>
                <w:color w:val="auto"/>
                <w:sz w:val="24"/>
                <w:szCs w:val="24"/>
                <w:highlight w:val="none"/>
                <w:lang w:val="en-US" w:eastAsia="zh-CN"/>
              </w:rPr>
            </w:pPr>
          </w:p>
        </w:tc>
        <w:tc>
          <w:tcPr>
            <w:tcW w:w="930" w:type="dxa"/>
            <w:tcMar>
              <w:top w:w="0" w:type="dxa"/>
              <w:left w:w="105" w:type="dxa"/>
              <w:bottom w:w="0" w:type="dxa"/>
              <w:right w:w="105" w:type="dxa"/>
            </w:tcMar>
            <w:vAlign w:val="center"/>
          </w:tcPr>
          <w:p w14:paraId="7ED9A9FD">
            <w:pPr>
              <w:jc w:val="center"/>
              <w:rPr>
                <w:rFonts w:hint="eastAsia" w:ascii="宋体" w:hAnsi="宋体" w:eastAsia="宋体" w:cs="宋体"/>
                <w:color w:val="auto"/>
                <w:sz w:val="24"/>
                <w:szCs w:val="24"/>
                <w:highlight w:val="none"/>
              </w:rPr>
            </w:pPr>
          </w:p>
        </w:tc>
        <w:tc>
          <w:tcPr>
            <w:tcW w:w="880" w:type="dxa"/>
            <w:tcMar>
              <w:top w:w="0" w:type="dxa"/>
              <w:left w:w="105" w:type="dxa"/>
              <w:bottom w:w="0" w:type="dxa"/>
              <w:right w:w="105" w:type="dxa"/>
            </w:tcMar>
            <w:vAlign w:val="center"/>
          </w:tcPr>
          <w:p w14:paraId="0E6C89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ascii="宋体" w:hAnsi="宋体" w:eastAsia="宋体" w:cs="宋体"/>
                <w:b/>
                <w:color w:val="auto"/>
                <w:sz w:val="24"/>
                <w:szCs w:val="24"/>
                <w:highlight w:val="none"/>
              </w:rPr>
            </w:pPr>
            <w:r>
              <w:rPr>
                <w:rStyle w:val="56"/>
                <w:rFonts w:hint="eastAsia" w:ascii="宋体" w:hAnsi="宋体" w:eastAsia="宋体" w:cs="宋体"/>
                <w:color w:val="auto"/>
                <w:highlight w:val="none"/>
                <w:lang w:val="en-US" w:eastAsia="zh-CN" w:bidi="ar"/>
              </w:rPr>
              <w:t>46.875</w:t>
            </w:r>
            <w:r>
              <w:rPr>
                <w:rStyle w:val="57"/>
                <w:rFonts w:hint="eastAsia" w:ascii="宋体" w:hAnsi="宋体" w:eastAsia="宋体" w:cs="宋体"/>
                <w:color w:val="auto"/>
                <w:highlight w:val="none"/>
                <w:lang w:val="en-US" w:eastAsia="zh-CN" w:bidi="ar"/>
              </w:rPr>
              <w:t>元/测试，校准品</w:t>
            </w:r>
          </w:p>
        </w:tc>
        <w:tc>
          <w:tcPr>
            <w:tcW w:w="840" w:type="dxa"/>
            <w:tcMar>
              <w:top w:w="0" w:type="dxa"/>
              <w:left w:w="105" w:type="dxa"/>
              <w:bottom w:w="0" w:type="dxa"/>
              <w:right w:w="105" w:type="dxa"/>
            </w:tcMar>
            <w:vAlign w:val="center"/>
          </w:tcPr>
          <w:p w14:paraId="081DE339">
            <w:pPr>
              <w:pStyle w:val="54"/>
              <w:ind w:firstLine="0"/>
              <w:jc w:val="center"/>
              <w:rPr>
                <w:rFonts w:ascii="宋体" w:hAnsi="宋体" w:eastAsia="宋体" w:cs="宋体"/>
                <w:color w:val="auto"/>
                <w:sz w:val="24"/>
                <w:szCs w:val="24"/>
                <w:highlight w:val="none"/>
              </w:rPr>
            </w:pPr>
          </w:p>
        </w:tc>
        <w:tc>
          <w:tcPr>
            <w:tcW w:w="901" w:type="dxa"/>
            <w:tcMar>
              <w:top w:w="0" w:type="dxa"/>
              <w:left w:w="105" w:type="dxa"/>
              <w:bottom w:w="0" w:type="dxa"/>
              <w:right w:w="105" w:type="dxa"/>
            </w:tcMar>
            <w:vAlign w:val="center"/>
          </w:tcPr>
          <w:p w14:paraId="3DF7FAA0">
            <w:pPr>
              <w:jc w:val="center"/>
              <w:rPr>
                <w:rFonts w:hint="eastAsia" w:ascii="宋体" w:hAnsi="宋体" w:eastAsia="宋体" w:cs="宋体"/>
                <w:color w:val="auto"/>
                <w:sz w:val="24"/>
                <w:szCs w:val="24"/>
                <w:highlight w:val="none"/>
              </w:rPr>
            </w:pPr>
          </w:p>
        </w:tc>
      </w:tr>
      <w:tr w14:paraId="48E6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vMerge w:val="continue"/>
            <w:tcMar>
              <w:top w:w="0" w:type="dxa"/>
              <w:left w:w="105" w:type="dxa"/>
              <w:bottom w:w="0" w:type="dxa"/>
              <w:right w:w="105" w:type="dxa"/>
            </w:tcMar>
            <w:vAlign w:val="center"/>
          </w:tcPr>
          <w:p w14:paraId="019C9537">
            <w:pPr>
              <w:pStyle w:val="54"/>
              <w:jc w:val="center"/>
              <w:rPr>
                <w:rFonts w:ascii="宋体" w:hAnsi="宋体" w:eastAsia="宋体" w:cs="宋体"/>
                <w:color w:val="auto"/>
                <w:sz w:val="24"/>
                <w:szCs w:val="24"/>
                <w:highlight w:val="none"/>
              </w:rPr>
            </w:pPr>
          </w:p>
        </w:tc>
        <w:tc>
          <w:tcPr>
            <w:tcW w:w="703" w:type="dxa"/>
            <w:tcMar>
              <w:top w:w="0" w:type="dxa"/>
              <w:left w:w="105" w:type="dxa"/>
              <w:bottom w:w="0" w:type="dxa"/>
              <w:right w:w="105" w:type="dxa"/>
            </w:tcMar>
            <w:vAlign w:val="center"/>
          </w:tcPr>
          <w:p w14:paraId="61142B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920" w:type="dxa"/>
            <w:tcMar>
              <w:top w:w="0" w:type="dxa"/>
              <w:left w:w="105" w:type="dxa"/>
              <w:bottom w:w="0" w:type="dxa"/>
              <w:right w:w="105" w:type="dxa"/>
            </w:tcMar>
            <w:vAlign w:val="center"/>
          </w:tcPr>
          <w:p w14:paraId="65E5B3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飞行时间质谱系统核酸样本预处理试剂</w:t>
            </w:r>
          </w:p>
        </w:tc>
        <w:tc>
          <w:tcPr>
            <w:tcW w:w="1000" w:type="dxa"/>
            <w:tcMar>
              <w:top w:w="0" w:type="dxa"/>
              <w:left w:w="105" w:type="dxa"/>
              <w:bottom w:w="0" w:type="dxa"/>
              <w:right w:w="105" w:type="dxa"/>
            </w:tcMar>
            <w:vAlign w:val="center"/>
          </w:tcPr>
          <w:p w14:paraId="0F0ADFED">
            <w:pPr>
              <w:pStyle w:val="54"/>
              <w:ind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1920</w:t>
            </w:r>
          </w:p>
        </w:tc>
        <w:tc>
          <w:tcPr>
            <w:tcW w:w="1000" w:type="dxa"/>
            <w:tcMar>
              <w:top w:w="0" w:type="dxa"/>
              <w:left w:w="105" w:type="dxa"/>
              <w:bottom w:w="0" w:type="dxa"/>
              <w:right w:w="105" w:type="dxa"/>
            </w:tcMar>
            <w:vAlign w:val="center"/>
          </w:tcPr>
          <w:p w14:paraId="6FF76F9A">
            <w:pPr>
              <w:pStyle w:val="54"/>
              <w:ind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测试</w:t>
            </w:r>
          </w:p>
        </w:tc>
        <w:tc>
          <w:tcPr>
            <w:tcW w:w="930" w:type="dxa"/>
            <w:tcMar>
              <w:top w:w="0" w:type="dxa"/>
              <w:left w:w="105" w:type="dxa"/>
              <w:bottom w:w="0" w:type="dxa"/>
              <w:right w:w="105" w:type="dxa"/>
            </w:tcMar>
            <w:vAlign w:val="center"/>
          </w:tcPr>
          <w:p w14:paraId="68D55029">
            <w:pPr>
              <w:pStyle w:val="54"/>
              <w:ind w:firstLine="0"/>
              <w:jc w:val="center"/>
              <w:rPr>
                <w:rFonts w:hint="default" w:ascii="宋体" w:hAnsi="宋体" w:eastAsia="宋体" w:cs="宋体"/>
                <w:color w:val="auto"/>
                <w:sz w:val="24"/>
                <w:szCs w:val="24"/>
                <w:highlight w:val="none"/>
                <w:lang w:val="en-US" w:eastAsia="zh-CN"/>
              </w:rPr>
            </w:pPr>
          </w:p>
        </w:tc>
        <w:tc>
          <w:tcPr>
            <w:tcW w:w="930" w:type="dxa"/>
            <w:tcMar>
              <w:top w:w="0" w:type="dxa"/>
              <w:left w:w="105" w:type="dxa"/>
              <w:bottom w:w="0" w:type="dxa"/>
              <w:right w:w="105" w:type="dxa"/>
            </w:tcMar>
            <w:vAlign w:val="center"/>
          </w:tcPr>
          <w:p w14:paraId="4336DF85">
            <w:pPr>
              <w:jc w:val="center"/>
              <w:rPr>
                <w:rFonts w:hint="eastAsia" w:ascii="宋体" w:hAnsi="宋体" w:eastAsia="宋体" w:cs="宋体"/>
                <w:color w:val="auto"/>
                <w:sz w:val="24"/>
                <w:szCs w:val="24"/>
                <w:highlight w:val="none"/>
              </w:rPr>
            </w:pPr>
          </w:p>
        </w:tc>
        <w:tc>
          <w:tcPr>
            <w:tcW w:w="880" w:type="dxa"/>
            <w:tcMar>
              <w:top w:w="0" w:type="dxa"/>
              <w:left w:w="105" w:type="dxa"/>
              <w:bottom w:w="0" w:type="dxa"/>
              <w:right w:w="105" w:type="dxa"/>
            </w:tcMar>
            <w:vAlign w:val="center"/>
          </w:tcPr>
          <w:p w14:paraId="02177E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ascii="宋体" w:hAnsi="宋体" w:eastAsia="宋体" w:cs="宋体"/>
                <w:b/>
                <w:color w:val="auto"/>
                <w:sz w:val="24"/>
                <w:szCs w:val="24"/>
                <w:highlight w:val="none"/>
              </w:rPr>
            </w:pPr>
            <w:r>
              <w:rPr>
                <w:rStyle w:val="56"/>
                <w:rFonts w:hint="eastAsia" w:ascii="宋体" w:hAnsi="宋体" w:eastAsia="宋体" w:cs="宋体"/>
                <w:color w:val="auto"/>
                <w:highlight w:val="none"/>
                <w:lang w:val="en-US" w:eastAsia="zh-CN" w:bidi="ar"/>
              </w:rPr>
              <w:t>16.25</w:t>
            </w:r>
            <w:r>
              <w:rPr>
                <w:rStyle w:val="57"/>
                <w:rFonts w:hint="eastAsia" w:ascii="宋体" w:hAnsi="宋体" w:eastAsia="宋体" w:cs="宋体"/>
                <w:color w:val="auto"/>
                <w:highlight w:val="none"/>
                <w:lang w:val="en-US" w:eastAsia="zh-CN" w:bidi="ar"/>
              </w:rPr>
              <w:t>元/测试</w:t>
            </w:r>
          </w:p>
        </w:tc>
        <w:tc>
          <w:tcPr>
            <w:tcW w:w="840" w:type="dxa"/>
            <w:tcMar>
              <w:top w:w="0" w:type="dxa"/>
              <w:left w:w="105" w:type="dxa"/>
              <w:bottom w:w="0" w:type="dxa"/>
              <w:right w:w="105" w:type="dxa"/>
            </w:tcMar>
            <w:vAlign w:val="center"/>
          </w:tcPr>
          <w:p w14:paraId="0B46C56C">
            <w:pPr>
              <w:pStyle w:val="54"/>
              <w:ind w:firstLine="0"/>
              <w:jc w:val="center"/>
              <w:rPr>
                <w:rFonts w:ascii="宋体" w:hAnsi="宋体" w:eastAsia="宋体" w:cs="宋体"/>
                <w:color w:val="auto"/>
                <w:sz w:val="24"/>
                <w:szCs w:val="24"/>
                <w:highlight w:val="none"/>
              </w:rPr>
            </w:pPr>
          </w:p>
        </w:tc>
        <w:tc>
          <w:tcPr>
            <w:tcW w:w="901" w:type="dxa"/>
            <w:tcMar>
              <w:top w:w="0" w:type="dxa"/>
              <w:left w:w="105" w:type="dxa"/>
              <w:bottom w:w="0" w:type="dxa"/>
              <w:right w:w="105" w:type="dxa"/>
            </w:tcMar>
            <w:vAlign w:val="center"/>
          </w:tcPr>
          <w:p w14:paraId="30533FEB">
            <w:pPr>
              <w:jc w:val="center"/>
              <w:rPr>
                <w:rFonts w:hint="eastAsia" w:ascii="宋体" w:hAnsi="宋体" w:eastAsia="宋体" w:cs="宋体"/>
                <w:color w:val="auto"/>
                <w:sz w:val="24"/>
                <w:szCs w:val="24"/>
                <w:highlight w:val="none"/>
              </w:rPr>
            </w:pPr>
          </w:p>
        </w:tc>
      </w:tr>
      <w:tr w14:paraId="1D28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top w:w="0" w:type="dxa"/>
              <w:left w:w="105" w:type="dxa"/>
              <w:bottom w:w="0" w:type="dxa"/>
              <w:right w:w="105" w:type="dxa"/>
            </w:tcMar>
            <w:vAlign w:val="center"/>
          </w:tcPr>
          <w:p w14:paraId="2B560C0D">
            <w:pPr>
              <w:pStyle w:val="54"/>
              <w:ind w:firstLine="0"/>
              <w:jc w:val="center"/>
              <w:rPr>
                <w:rFonts w:ascii="宋体" w:hAnsi="宋体" w:eastAsia="宋体" w:cs="宋体"/>
                <w:b/>
                <w:color w:val="auto"/>
                <w:sz w:val="24"/>
                <w:szCs w:val="24"/>
                <w:highlight w:val="none"/>
              </w:rPr>
            </w:pPr>
          </w:p>
        </w:tc>
        <w:tc>
          <w:tcPr>
            <w:tcW w:w="8203" w:type="dxa"/>
            <w:gridSpan w:val="8"/>
            <w:tcMar>
              <w:top w:w="0" w:type="dxa"/>
              <w:left w:w="105" w:type="dxa"/>
              <w:bottom w:w="0" w:type="dxa"/>
              <w:right w:w="105" w:type="dxa"/>
            </w:tcMar>
            <w:vAlign w:val="center"/>
          </w:tcPr>
          <w:p w14:paraId="70565F3F">
            <w:pPr>
              <w:pStyle w:val="54"/>
              <w:ind w:firstLine="0"/>
              <w:jc w:val="righ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合计</w:t>
            </w:r>
            <w:r>
              <w:rPr>
                <w:rFonts w:ascii="宋体" w:hAnsi="宋体" w:eastAsia="宋体" w:cs="宋体"/>
                <w:b/>
                <w:color w:val="auto"/>
                <w:sz w:val="24"/>
                <w:szCs w:val="24"/>
                <w:highlight w:val="none"/>
              </w:rPr>
              <w:t>（元）</w:t>
            </w:r>
          </w:p>
        </w:tc>
        <w:tc>
          <w:tcPr>
            <w:tcW w:w="901" w:type="dxa"/>
            <w:tcMar>
              <w:top w:w="0" w:type="dxa"/>
              <w:left w:w="105" w:type="dxa"/>
              <w:bottom w:w="0" w:type="dxa"/>
              <w:right w:w="105" w:type="dxa"/>
            </w:tcMar>
            <w:vAlign w:val="center"/>
          </w:tcPr>
          <w:p w14:paraId="2B5CC46A">
            <w:pPr>
              <w:pStyle w:val="54"/>
              <w:ind w:firstLine="0"/>
              <w:jc w:val="left"/>
              <w:rPr>
                <w:rFonts w:ascii="宋体" w:hAnsi="宋体" w:eastAsia="宋体" w:cs="宋体"/>
                <w:b/>
                <w:color w:val="auto"/>
                <w:sz w:val="24"/>
                <w:szCs w:val="24"/>
                <w:highlight w:val="none"/>
              </w:rPr>
            </w:pPr>
          </w:p>
        </w:tc>
      </w:tr>
      <w:tr w14:paraId="47AD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top w:w="0" w:type="dxa"/>
              <w:left w:w="105" w:type="dxa"/>
              <w:bottom w:w="0" w:type="dxa"/>
              <w:right w:w="105" w:type="dxa"/>
            </w:tcMar>
            <w:vAlign w:val="center"/>
          </w:tcPr>
          <w:p w14:paraId="4B17C2CF">
            <w:pPr>
              <w:pStyle w:val="54"/>
              <w:ind w:firstLine="0"/>
              <w:jc w:val="center"/>
              <w:rPr>
                <w:rFonts w:ascii="宋体" w:hAnsi="宋体" w:eastAsia="宋体" w:cs="宋体"/>
                <w:b/>
                <w:color w:val="auto"/>
                <w:sz w:val="24"/>
                <w:szCs w:val="24"/>
                <w:highlight w:val="none"/>
              </w:rPr>
            </w:pPr>
          </w:p>
        </w:tc>
        <w:tc>
          <w:tcPr>
            <w:tcW w:w="9104" w:type="dxa"/>
            <w:gridSpan w:val="9"/>
            <w:tcMar>
              <w:top w:w="0" w:type="dxa"/>
              <w:left w:w="105" w:type="dxa"/>
              <w:bottom w:w="0" w:type="dxa"/>
              <w:right w:w="105" w:type="dxa"/>
            </w:tcMar>
            <w:vAlign w:val="center"/>
          </w:tcPr>
          <w:p w14:paraId="1E72CC63">
            <w:pPr>
              <w:pStyle w:val="54"/>
              <w:jc w:val="left"/>
              <w:rPr>
                <w:rFonts w:ascii="宋体" w:hAnsi="宋体" w:eastAsia="宋体" w:cs="宋体"/>
                <w:color w:val="auto"/>
                <w:sz w:val="24"/>
                <w:szCs w:val="24"/>
                <w:highlight w:val="none"/>
              </w:rPr>
            </w:pPr>
            <w:r>
              <w:rPr>
                <w:rFonts w:ascii="宋体" w:hAnsi="宋体" w:eastAsia="宋体" w:cs="宋体"/>
                <w:b/>
                <w:color w:val="auto"/>
                <w:sz w:val="24"/>
                <w:szCs w:val="24"/>
                <w:highlight w:val="none"/>
              </w:rPr>
              <w:t>注：1、上表中的耗材需求数量仅为</w:t>
            </w:r>
            <w:r>
              <w:rPr>
                <w:rFonts w:hint="eastAsia" w:ascii="宋体" w:hAnsi="宋体" w:eastAsia="宋体" w:cs="宋体"/>
                <w:b/>
                <w:color w:val="auto"/>
                <w:sz w:val="24"/>
                <w:szCs w:val="24"/>
                <w:highlight w:val="none"/>
              </w:rPr>
              <w:t>预计每年测试数</w:t>
            </w:r>
            <w:r>
              <w:rPr>
                <w:rFonts w:ascii="宋体" w:hAnsi="宋体" w:eastAsia="宋体" w:cs="宋体"/>
                <w:b/>
                <w:color w:val="auto"/>
                <w:sz w:val="24"/>
                <w:szCs w:val="24"/>
                <w:highlight w:val="none"/>
              </w:rPr>
              <w:t>，采购人不保证实际年使用量。若遇到国家、省市集采相关政策调整，</w:t>
            </w:r>
            <w:r>
              <w:rPr>
                <w:rFonts w:hint="eastAsia" w:ascii="宋体" w:hAnsi="宋体" w:eastAsia="宋体" w:cs="宋体"/>
                <w:b/>
                <w:color w:val="auto"/>
                <w:sz w:val="24"/>
                <w:szCs w:val="24"/>
                <w:highlight w:val="none"/>
                <w:lang w:val="en-US" w:eastAsia="zh-CN"/>
              </w:rPr>
              <w:t>分签单位</w:t>
            </w:r>
            <w:r>
              <w:rPr>
                <w:rFonts w:ascii="宋体" w:hAnsi="宋体" w:eastAsia="宋体" w:cs="宋体"/>
                <w:b/>
                <w:color w:val="auto"/>
                <w:sz w:val="24"/>
                <w:szCs w:val="24"/>
                <w:highlight w:val="none"/>
              </w:rPr>
              <w:t>有权按照新政策执行，投标人须无条件响应政策调整。</w:t>
            </w:r>
          </w:p>
          <w:p w14:paraId="2C692F5F">
            <w:pPr>
              <w:pStyle w:val="54"/>
              <w:ind w:firstLine="0"/>
              <w:jc w:val="left"/>
              <w:rPr>
                <w:rFonts w:ascii="宋体" w:hAnsi="宋体" w:eastAsia="宋体" w:cs="宋体"/>
                <w:color w:val="auto"/>
                <w:sz w:val="24"/>
                <w:szCs w:val="24"/>
                <w:highlight w:val="none"/>
              </w:rPr>
            </w:pPr>
            <w:r>
              <w:rPr>
                <w:rFonts w:ascii="宋体" w:hAnsi="宋体" w:eastAsia="宋体" w:cs="宋体"/>
                <w:b/>
                <w:color w:val="auto"/>
                <w:sz w:val="24"/>
                <w:szCs w:val="24"/>
                <w:highlight w:val="none"/>
              </w:rPr>
              <w:t>2、投标人应</w:t>
            </w:r>
            <w:r>
              <w:rPr>
                <w:rFonts w:hint="eastAsia" w:ascii="宋体" w:hAnsi="宋体" w:eastAsia="宋体" w:cs="宋体"/>
                <w:b/>
                <w:color w:val="auto"/>
                <w:sz w:val="24"/>
                <w:szCs w:val="24"/>
                <w:highlight w:val="none"/>
                <w:lang w:val="en-US" w:eastAsia="zh-CN"/>
              </w:rPr>
              <w:t>将本表</w:t>
            </w:r>
            <w:r>
              <w:rPr>
                <w:rFonts w:hint="eastAsia" w:ascii="宋体" w:hAnsi="宋体" w:eastAsia="宋体" w:cs="宋体"/>
                <w:b/>
                <w:color w:val="auto"/>
                <w:sz w:val="24"/>
                <w:szCs w:val="24"/>
                <w:highlight w:val="none"/>
              </w:rPr>
              <w:t>上传至报价分册“优先类节能产品、环境标志产品统计表”。</w:t>
            </w:r>
          </w:p>
        </w:tc>
      </w:tr>
    </w:tbl>
    <w:p w14:paraId="07A66E8D">
      <w:pPr>
        <w:spacing w:line="360" w:lineRule="auto"/>
        <w:ind w:firstLine="480" w:firstLineChars="200"/>
        <w:rPr>
          <w:rFonts w:hint="eastAsia" w:asciiTheme="minorEastAsia" w:hAnsiTheme="minorEastAsia"/>
          <w:color w:val="auto"/>
          <w:sz w:val="24"/>
          <w:szCs w:val="28"/>
          <w:highlight w:val="none"/>
        </w:rPr>
      </w:pPr>
    </w:p>
    <w:p w14:paraId="678213B4">
      <w:pPr>
        <w:spacing w:line="360" w:lineRule="auto"/>
        <w:ind w:firstLine="480" w:firstLineChars="200"/>
        <w:rPr>
          <w:rFonts w:hint="default" w:asciiTheme="minorEastAsia" w:hAnsiTheme="minorEastAsia"/>
          <w:color w:val="auto"/>
          <w:sz w:val="24"/>
          <w:szCs w:val="28"/>
          <w:highlight w:val="none"/>
          <w:lang w:val="en-US" w:eastAsia="zh-CN"/>
        </w:rPr>
      </w:pPr>
    </w:p>
    <w:p w14:paraId="72D7E0CD">
      <w:pPr>
        <w:spacing w:line="360" w:lineRule="auto"/>
        <w:ind w:firstLine="482" w:firstLineChars="200"/>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、商务条件响应要求</w:t>
      </w:r>
    </w:p>
    <w:p w14:paraId="3881C115">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rPr>
        <w:t>11.1投标人应根据商务条件要求及商务项评分条款提供相应的交付时间、售后服务、业绩经验，并按要求提供相应的佐证材料，未按要求提供的将可能导致不得分。</w:t>
      </w:r>
    </w:p>
    <w:p w14:paraId="771079FB">
      <w:pPr>
        <w:spacing w:line="360" w:lineRule="auto"/>
        <w:ind w:firstLine="480" w:firstLineChars="200"/>
        <w:rPr>
          <w:rFonts w:hint="eastAsia" w:asciiTheme="minorEastAsia" w:hAnsiTheme="minorEastAsia"/>
          <w:color w:val="auto"/>
          <w:sz w:val="24"/>
          <w:szCs w:val="28"/>
          <w:highlight w:val="none"/>
        </w:rPr>
      </w:pPr>
      <w:r>
        <w:rPr>
          <w:rFonts w:hint="eastAsia" w:asciiTheme="minorEastAsia" w:hAnsiTheme="minorEastAsia"/>
          <w:color w:val="auto"/>
          <w:sz w:val="24"/>
          <w:szCs w:val="28"/>
          <w:highlight w:val="none"/>
        </w:rPr>
        <w:t>11.2投标人需承诺：若本市范围内的市属公立医疗卫生机构需跟单采购本项目的中标设备，中标人需同意按不高于本项目的中标单价进行供货。投标人需对此做出书面承诺。</w:t>
      </w:r>
    </w:p>
    <w:p w14:paraId="0DA66C54">
      <w:pPr>
        <w:spacing w:line="360" w:lineRule="auto"/>
        <w:ind w:firstLine="480" w:firstLineChars="200"/>
        <w:rPr>
          <w:rFonts w:hint="eastAsia" w:asciiTheme="minorEastAsia" w:hAnsiTheme="minorEastAsia"/>
          <w:color w:val="auto"/>
          <w:sz w:val="24"/>
          <w:szCs w:val="28"/>
          <w:highlight w:val="none"/>
          <w:lang w:eastAsia="zh-CN"/>
        </w:rPr>
      </w:pPr>
    </w:p>
    <w:p w14:paraId="22969557">
      <w:pPr>
        <w:spacing w:line="360" w:lineRule="auto"/>
        <w:ind w:firstLine="482" w:firstLineChars="200"/>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12、违约责任</w:t>
      </w:r>
    </w:p>
    <w:p w14:paraId="1E5DF9A9">
      <w:pPr>
        <w:spacing w:line="360" w:lineRule="auto"/>
        <w:ind w:firstLine="480" w:firstLineChars="200"/>
        <w:rPr>
          <w:rFonts w:hint="eastAsia" w:asciiTheme="minorEastAsia" w:hAnsiTheme="minorEastAsia"/>
          <w:color w:val="auto"/>
          <w:sz w:val="24"/>
          <w:szCs w:val="28"/>
          <w:highlight w:val="none"/>
          <w:lang w:eastAsia="zh-CN"/>
        </w:rPr>
      </w:pPr>
      <w:r>
        <w:rPr>
          <w:rFonts w:hint="eastAsia" w:asciiTheme="minorEastAsia" w:hAnsiTheme="minorEastAsia"/>
          <w:color w:val="auto"/>
          <w:sz w:val="24"/>
          <w:szCs w:val="28"/>
          <w:highlight w:val="none"/>
          <w:lang w:eastAsia="zh-CN"/>
        </w:rPr>
        <w:t>12.1中标人未能按投标承诺的交付期如期交付的，每逾期1个日历日，需向分签单位支付合同金额2‰的违约金，延误超过15天的分签单位有权终止合同。</w:t>
      </w:r>
    </w:p>
    <w:p w14:paraId="1BB32FDE">
      <w:pPr>
        <w:spacing w:line="360" w:lineRule="auto"/>
        <w:ind w:firstLine="480" w:firstLineChars="200"/>
        <w:rPr>
          <w:rFonts w:hint="eastAsia" w:asciiTheme="minorEastAsia" w:hAnsiTheme="minorEastAsia"/>
          <w:color w:val="auto"/>
          <w:sz w:val="24"/>
          <w:szCs w:val="28"/>
          <w:highlight w:val="none"/>
          <w:lang w:eastAsia="zh-CN"/>
        </w:rPr>
      </w:pPr>
      <w:r>
        <w:rPr>
          <w:rFonts w:hint="eastAsia" w:asciiTheme="minorEastAsia" w:hAnsiTheme="minorEastAsia"/>
          <w:color w:val="auto"/>
          <w:sz w:val="24"/>
          <w:szCs w:val="28"/>
          <w:highlight w:val="none"/>
          <w:lang w:eastAsia="zh-CN"/>
        </w:rPr>
        <w:t>12.2在整个验收过程中，如分签单位发现问题的，中标人应按分签单位要求及时进行整改。中标人若不按分签单位要求整改或经整改一次后仍不合格的，则分签单位有权终止合同。</w:t>
      </w:r>
    </w:p>
    <w:p w14:paraId="3EE9573C">
      <w:pPr>
        <w:spacing w:line="360" w:lineRule="auto"/>
        <w:ind w:firstLine="480" w:firstLineChars="200"/>
        <w:rPr>
          <w:rFonts w:hint="eastAsia" w:asciiTheme="minorEastAsia" w:hAnsiTheme="minorEastAsia"/>
          <w:color w:val="auto"/>
          <w:sz w:val="24"/>
          <w:szCs w:val="28"/>
          <w:highlight w:val="none"/>
          <w:lang w:eastAsia="zh-CN"/>
        </w:rPr>
      </w:pPr>
      <w:r>
        <w:rPr>
          <w:rFonts w:hint="eastAsia" w:asciiTheme="minorEastAsia" w:hAnsiTheme="minorEastAsia"/>
          <w:color w:val="auto"/>
          <w:sz w:val="24"/>
          <w:szCs w:val="28"/>
          <w:highlight w:val="none"/>
          <w:lang w:eastAsia="zh-CN"/>
        </w:rPr>
        <w:t>12.3在验收过程中，若发现中标人存在虚假应标情形的，分签单位有权终止合同，并要求中标人支付合同金额50%的违约金。同时分签单位将虚假情况上报财政部门处理，追究中标人的相应法律责任。</w:t>
      </w:r>
    </w:p>
    <w:p w14:paraId="36F5E0F8">
      <w:pPr>
        <w:spacing w:line="360" w:lineRule="auto"/>
        <w:ind w:firstLine="480" w:firstLineChars="200"/>
        <w:rPr>
          <w:rFonts w:hint="eastAsia" w:asciiTheme="minorEastAsia" w:hAnsiTheme="minorEastAsia"/>
          <w:color w:val="auto"/>
          <w:sz w:val="24"/>
          <w:szCs w:val="28"/>
          <w:highlight w:val="none"/>
          <w:lang w:eastAsia="zh-CN"/>
        </w:rPr>
      </w:pPr>
    </w:p>
    <w:p w14:paraId="116DA368">
      <w:pPr>
        <w:spacing w:line="360" w:lineRule="auto"/>
        <w:ind w:firstLine="482" w:firstLineChars="200"/>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13、关于符合本国产品标准的声明函的要求</w:t>
      </w:r>
    </w:p>
    <w:p w14:paraId="0806E39F">
      <w:pPr>
        <w:spacing w:line="360" w:lineRule="auto"/>
        <w:ind w:firstLine="480" w:firstLineChars="200"/>
        <w:rPr>
          <w:rFonts w:hint="eastAsia" w:asciiTheme="minorEastAsia" w:hAnsiTheme="minorEastAsia"/>
          <w:color w:val="auto"/>
          <w:sz w:val="24"/>
          <w:szCs w:val="28"/>
          <w:highlight w:val="none"/>
          <w:lang w:eastAsia="zh-CN"/>
        </w:rPr>
      </w:pPr>
      <w:r>
        <w:rPr>
          <w:rFonts w:hint="eastAsia" w:asciiTheme="minorEastAsia" w:hAnsiTheme="minorEastAsia"/>
          <w:color w:val="auto"/>
          <w:sz w:val="24"/>
          <w:szCs w:val="28"/>
          <w:highlight w:val="none"/>
          <w:lang w:eastAsia="zh-CN"/>
        </w:rPr>
        <w:t>13.1本项目是否适用本国产品标准：适用。</w:t>
      </w:r>
    </w:p>
    <w:p w14:paraId="567CB6D4">
      <w:pPr>
        <w:spacing w:line="360" w:lineRule="auto"/>
        <w:ind w:firstLine="480" w:firstLineChars="200"/>
        <w:rPr>
          <w:rFonts w:hint="eastAsia" w:asciiTheme="minorEastAsia" w:hAnsiTheme="minorEastAsia"/>
          <w:color w:val="auto"/>
          <w:sz w:val="24"/>
          <w:szCs w:val="28"/>
          <w:highlight w:val="none"/>
          <w:lang w:val="en-US" w:eastAsia="zh-CN"/>
        </w:rPr>
      </w:pPr>
      <w:r>
        <w:rPr>
          <w:rFonts w:hint="eastAsia" w:asciiTheme="minorEastAsia" w:hAnsiTheme="minorEastAsia"/>
          <w:color w:val="auto"/>
          <w:sz w:val="24"/>
          <w:szCs w:val="28"/>
          <w:highlight w:val="none"/>
          <w:lang w:val="en-US" w:eastAsia="zh-CN"/>
        </w:rPr>
        <w:t>13.2</w:t>
      </w:r>
      <w:r>
        <w:rPr>
          <w:rFonts w:hint="eastAsia" w:asciiTheme="minorEastAsia" w:hAnsiTheme="minorEastAsia"/>
          <w:color w:val="auto"/>
          <w:sz w:val="24"/>
          <w:szCs w:val="24"/>
          <w:highlight w:val="none"/>
        </w:rPr>
        <w:t>★</w:t>
      </w:r>
      <w:r>
        <w:rPr>
          <w:rFonts w:hint="eastAsia" w:asciiTheme="minorEastAsia" w:hAnsiTheme="minorEastAsia"/>
          <w:color w:val="auto"/>
          <w:sz w:val="24"/>
          <w:szCs w:val="28"/>
          <w:highlight w:val="none"/>
          <w:lang w:val="en-US" w:eastAsia="zh-CN"/>
        </w:rPr>
        <w:t>本项目不接受进口产品参与投标，供应商提供的产品符合本国产品标准的，供应商应按照《国务院办公厅关于在政府采购中实施本国产品标准及相关政策的通知》（国办发〔2025〕34号，以下简称《通知》）的规定对提供的产品出具《关于符合本国产品标准的声明函》（以下简称《声明函》，样式详见采购文件“补充条款”）或财政部会同有关部门规定的有关证明文件，出具符合要求的《声明函》或有关证明文件的，该产品视为本国产品，方可享受政府采购对本国产品支持政策。</w:t>
      </w:r>
    </w:p>
    <w:p w14:paraId="19AB0F3C">
      <w:pPr>
        <w:spacing w:line="360" w:lineRule="auto"/>
        <w:ind w:firstLine="480" w:firstLineChars="200"/>
        <w:rPr>
          <w:rFonts w:hint="eastAsia" w:asciiTheme="minorEastAsia" w:hAnsiTheme="minorEastAsia"/>
          <w:color w:val="auto"/>
          <w:sz w:val="24"/>
          <w:szCs w:val="28"/>
          <w:highlight w:val="none"/>
          <w:lang w:val="en-US" w:eastAsia="zh-CN"/>
        </w:rPr>
      </w:pPr>
      <w:r>
        <w:rPr>
          <w:rFonts w:hint="eastAsia" w:asciiTheme="minorEastAsia" w:hAnsiTheme="minorEastAsia"/>
          <w:color w:val="auto"/>
          <w:sz w:val="24"/>
          <w:szCs w:val="28"/>
          <w:highlight w:val="none"/>
          <w:lang w:val="en-US" w:eastAsia="zh-CN"/>
        </w:rPr>
        <w:t>13.3评标委员会对供应商所出具的《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号）规定要求的，供应商提供的相关产品视为不符合本国产品标准。</w:t>
      </w:r>
    </w:p>
    <w:p w14:paraId="1E4159CE">
      <w:pPr>
        <w:spacing w:line="360" w:lineRule="auto"/>
        <w:ind w:firstLine="480" w:firstLineChars="200"/>
        <w:rPr>
          <w:rFonts w:hint="eastAsia" w:asciiTheme="minorEastAsia" w:hAnsiTheme="minorEastAsia"/>
          <w:color w:val="auto"/>
          <w:sz w:val="24"/>
          <w:szCs w:val="28"/>
          <w:highlight w:val="none"/>
          <w:lang w:val="en-US" w:eastAsia="zh-CN"/>
        </w:rPr>
      </w:pPr>
      <w:r>
        <w:rPr>
          <w:rFonts w:hint="eastAsia" w:asciiTheme="minorEastAsia" w:hAnsiTheme="minorEastAsia"/>
          <w:color w:val="auto"/>
          <w:sz w:val="24"/>
          <w:szCs w:val="28"/>
          <w:highlight w:val="none"/>
          <w:lang w:val="en-US" w:eastAsia="zh-CN"/>
        </w:rPr>
        <w:t>13.4具体支持政策内容详见采购文件“政府采购政策”中本国产品与非本国产品相关约定要求。</w:t>
      </w:r>
    </w:p>
    <w:p w14:paraId="38892C5E">
      <w:pPr>
        <w:spacing w:line="360" w:lineRule="auto"/>
        <w:ind w:firstLine="480" w:firstLineChars="200"/>
        <w:rPr>
          <w:rFonts w:hint="eastAsia" w:asciiTheme="minorEastAsia" w:hAnsiTheme="minorEastAsia"/>
          <w:color w:val="auto"/>
          <w:sz w:val="24"/>
          <w:szCs w:val="28"/>
          <w:highlight w:val="none"/>
          <w:lang w:eastAsia="zh-CN"/>
        </w:rPr>
      </w:pPr>
    </w:p>
    <w:p w14:paraId="754F6890">
      <w:pPr>
        <w:spacing w:line="240" w:lineRule="auto"/>
        <w:jc w:val="left"/>
        <w:rPr>
          <w:rFonts w:hint="eastAsia" w:ascii="微软雅黑" w:hAnsi="微软雅黑" w:eastAsia="微软雅黑" w:cs="微软雅黑"/>
          <w:b/>
          <w:color w:val="auto"/>
          <w:kern w:val="0"/>
          <w:sz w:val="32"/>
          <w:szCs w:val="24"/>
          <w:highlight w:val="none"/>
          <w:u w:val="double"/>
        </w:rPr>
      </w:pPr>
      <w:r>
        <w:rPr>
          <w:rFonts w:hint="eastAsia" w:ascii="微软雅黑" w:hAnsi="微软雅黑" w:eastAsia="微软雅黑" w:cs="微软雅黑"/>
          <w:b/>
          <w:color w:val="auto"/>
          <w:kern w:val="0"/>
          <w:sz w:val="32"/>
          <w:szCs w:val="24"/>
          <w:highlight w:val="none"/>
          <w:u w:val="double"/>
        </w:rPr>
        <w:t>补充条款：</w:t>
      </w:r>
    </w:p>
    <w:p w14:paraId="097705CB">
      <w:pPr>
        <w:spacing w:line="240" w:lineRule="auto"/>
        <w:jc w:val="left"/>
        <w:rPr>
          <w:rFonts w:ascii="楷体" w:hAnsi="楷体" w:eastAsia="楷体" w:cs="宋体"/>
          <w:b/>
          <w:color w:val="auto"/>
          <w:kern w:val="0"/>
          <w:sz w:val="32"/>
          <w:szCs w:val="24"/>
          <w:highlight w:val="none"/>
        </w:rPr>
      </w:pPr>
      <w:r>
        <w:rPr>
          <w:rFonts w:hint="eastAsia" w:ascii="微软雅黑" w:hAnsi="微软雅黑" w:eastAsia="微软雅黑" w:cs="微软雅黑"/>
          <w:b/>
          <w:color w:val="auto"/>
          <w:kern w:val="0"/>
          <w:sz w:val="32"/>
          <w:szCs w:val="24"/>
          <w:highlight w:val="none"/>
          <w:u w:val="double"/>
        </w:rPr>
        <w:t>说明：本补充条款为招标文件组成部分，补充条款内容与招标文件其他地方内容不一致的，以本补充条款内容为准。请投标人仔细阅读。</w:t>
      </w:r>
      <w:r>
        <w:rPr>
          <w:rFonts w:ascii="楷体" w:hAnsi="楷体" w:eastAsia="楷体" w:cs="宋体"/>
          <w:b/>
          <w:color w:val="auto"/>
          <w:kern w:val="0"/>
          <w:sz w:val="32"/>
          <w:szCs w:val="24"/>
          <w:highlight w:val="none"/>
        </w:rPr>
        <w:t xml:space="preserve"> </w:t>
      </w:r>
    </w:p>
    <w:p w14:paraId="12616538">
      <w:pPr>
        <w:spacing w:line="360" w:lineRule="auto"/>
        <w:rPr>
          <w:rFonts w:ascii="黑体" w:hAnsi="黑体" w:eastAsia="黑体"/>
          <w:b/>
          <w:color w:val="auto"/>
          <w:sz w:val="32"/>
          <w:szCs w:val="32"/>
          <w:highlight w:val="none"/>
        </w:rPr>
      </w:pPr>
      <w:bookmarkStart w:id="22" w:name="_Toc100307865"/>
      <w:r>
        <w:rPr>
          <w:rFonts w:hint="eastAsia" w:ascii="黑体" w:hAnsi="黑体" w:eastAsia="黑体"/>
          <w:b/>
          <w:color w:val="auto"/>
          <w:sz w:val="32"/>
          <w:szCs w:val="32"/>
          <w:highlight w:val="none"/>
        </w:rPr>
        <w:t>一、对《第二章  投标人须知前附表》的内容补充如下：</w:t>
      </w:r>
      <w:bookmarkEnd w:id="22"/>
    </w:p>
    <w:p w14:paraId="55EAFEA2">
      <w:pPr>
        <w:spacing w:line="360" w:lineRule="auto"/>
        <w:jc w:val="center"/>
        <w:rPr>
          <w:rFonts w:ascii="黑体" w:hAnsi="黑体" w:eastAsia="黑体" w:cs="宋体"/>
          <w:b/>
          <w:color w:val="auto"/>
          <w:kern w:val="0"/>
          <w:sz w:val="28"/>
          <w:szCs w:val="24"/>
          <w:highlight w:val="none"/>
        </w:rPr>
      </w:pPr>
      <w:r>
        <w:rPr>
          <w:rFonts w:hint="eastAsia" w:ascii="黑体" w:hAnsi="黑体" w:eastAsia="黑体" w:cs="宋体"/>
          <w:b/>
          <w:color w:val="auto"/>
          <w:kern w:val="0"/>
          <w:sz w:val="28"/>
          <w:szCs w:val="24"/>
          <w:highlight w:val="none"/>
        </w:rPr>
        <w:t>一、投标人须知前附表1</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401"/>
        <w:gridCol w:w="6999"/>
      </w:tblGrid>
      <w:tr w14:paraId="0539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7CFA7B19">
            <w:pPr>
              <w:spacing w:line="360" w:lineRule="auto"/>
              <w:jc w:val="center"/>
              <w:rPr>
                <w:rFonts w:ascii="宋体" w:hAnsi="宋体" w:eastAsia="宋体" w:cs="宋体"/>
                <w:color w:val="auto"/>
                <w:kern w:val="0"/>
                <w:sz w:val="24"/>
                <w:szCs w:val="20"/>
                <w:highlight w:val="none"/>
              </w:rPr>
            </w:pPr>
            <w:r>
              <w:rPr>
                <w:rFonts w:ascii="宋体" w:hAnsi="宋体" w:eastAsia="宋体" w:cs="宋体"/>
                <w:color w:val="auto"/>
                <w:kern w:val="0"/>
                <w:sz w:val="24"/>
                <w:szCs w:val="20"/>
                <w:highlight w:val="none"/>
              </w:rPr>
              <w:t>项号</w:t>
            </w:r>
          </w:p>
        </w:tc>
        <w:tc>
          <w:tcPr>
            <w:tcW w:w="1401" w:type="dxa"/>
            <w:vAlign w:val="center"/>
          </w:tcPr>
          <w:p w14:paraId="4D988382">
            <w:pPr>
              <w:spacing w:line="360" w:lineRule="auto"/>
              <w:jc w:val="center"/>
              <w:rPr>
                <w:rFonts w:ascii="宋体" w:hAnsi="宋体" w:eastAsia="宋体" w:cs="宋体"/>
                <w:color w:val="auto"/>
                <w:kern w:val="0"/>
                <w:sz w:val="24"/>
                <w:szCs w:val="20"/>
                <w:highlight w:val="none"/>
              </w:rPr>
            </w:pPr>
            <w:r>
              <w:rPr>
                <w:rFonts w:ascii="宋体" w:hAnsi="宋体" w:eastAsia="宋体" w:cs="宋体"/>
                <w:color w:val="auto"/>
                <w:kern w:val="0"/>
                <w:sz w:val="24"/>
                <w:szCs w:val="20"/>
                <w:highlight w:val="none"/>
              </w:rPr>
              <w:t>招标文件</w:t>
            </w:r>
          </w:p>
          <w:p w14:paraId="326CB90E">
            <w:pPr>
              <w:spacing w:line="360" w:lineRule="auto"/>
              <w:jc w:val="center"/>
              <w:rPr>
                <w:rFonts w:ascii="宋体" w:hAnsi="宋体" w:eastAsia="宋体" w:cs="宋体"/>
                <w:color w:val="auto"/>
                <w:kern w:val="0"/>
                <w:sz w:val="24"/>
                <w:szCs w:val="20"/>
                <w:highlight w:val="none"/>
              </w:rPr>
            </w:pPr>
            <w:r>
              <w:rPr>
                <w:rFonts w:ascii="宋体" w:hAnsi="宋体" w:eastAsia="宋体" w:cs="宋体"/>
                <w:color w:val="auto"/>
                <w:kern w:val="0"/>
                <w:sz w:val="24"/>
                <w:szCs w:val="20"/>
                <w:highlight w:val="none"/>
              </w:rPr>
              <w:t>（第三章）</w:t>
            </w:r>
          </w:p>
        </w:tc>
        <w:tc>
          <w:tcPr>
            <w:tcW w:w="6999" w:type="dxa"/>
            <w:vAlign w:val="center"/>
          </w:tcPr>
          <w:p w14:paraId="563BFB45">
            <w:pPr>
              <w:spacing w:line="360" w:lineRule="auto"/>
              <w:jc w:val="center"/>
              <w:rPr>
                <w:rFonts w:ascii="宋体" w:hAnsi="宋体" w:eastAsia="宋体" w:cs="宋体"/>
                <w:color w:val="auto"/>
                <w:kern w:val="0"/>
                <w:sz w:val="24"/>
                <w:szCs w:val="20"/>
                <w:highlight w:val="none"/>
              </w:rPr>
            </w:pPr>
            <w:r>
              <w:rPr>
                <w:rFonts w:ascii="宋体" w:hAnsi="宋体" w:eastAsia="宋体" w:cs="宋体"/>
                <w:color w:val="auto"/>
                <w:kern w:val="0"/>
                <w:sz w:val="24"/>
                <w:szCs w:val="20"/>
                <w:highlight w:val="none"/>
              </w:rPr>
              <w:t>编列内容</w:t>
            </w:r>
          </w:p>
        </w:tc>
      </w:tr>
      <w:tr w14:paraId="6DD7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6DD538BF">
            <w:pPr>
              <w:spacing w:line="360" w:lineRule="auto"/>
              <w:jc w:val="center"/>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8</w:t>
            </w:r>
          </w:p>
        </w:tc>
        <w:tc>
          <w:tcPr>
            <w:tcW w:w="1401" w:type="dxa"/>
            <w:vAlign w:val="center"/>
          </w:tcPr>
          <w:p w14:paraId="6060B616">
            <w:pPr>
              <w:spacing w:line="360" w:lineRule="auto"/>
              <w:jc w:val="center"/>
              <w:rPr>
                <w:rFonts w:ascii="宋体" w:hAnsi="宋体" w:eastAsia="宋体" w:cs="宋体"/>
                <w:color w:val="auto"/>
                <w:kern w:val="0"/>
                <w:sz w:val="24"/>
                <w:szCs w:val="20"/>
                <w:highlight w:val="none"/>
              </w:rPr>
            </w:pPr>
            <w:r>
              <w:rPr>
                <w:rFonts w:ascii="宋体" w:hAnsi="宋体" w:eastAsia="宋体" w:cs="宋体"/>
                <w:color w:val="auto"/>
                <w:kern w:val="0"/>
                <w:sz w:val="24"/>
                <w:szCs w:val="20"/>
                <w:highlight w:val="none"/>
              </w:rPr>
              <w:t>15.1-（2）</w:t>
            </w:r>
          </w:p>
        </w:tc>
        <w:tc>
          <w:tcPr>
            <w:tcW w:w="6999" w:type="dxa"/>
          </w:tcPr>
          <w:p w14:paraId="7E75D5AE">
            <w:pPr>
              <w:spacing w:line="360" w:lineRule="auto"/>
              <w:jc w:val="left"/>
              <w:rPr>
                <w:rFonts w:ascii="宋体" w:hAnsi="宋体" w:eastAsia="宋体" w:cs="宋体"/>
                <w:b/>
                <w:bCs/>
                <w:color w:val="auto"/>
                <w:kern w:val="0"/>
                <w:sz w:val="24"/>
                <w:szCs w:val="20"/>
                <w:highlight w:val="none"/>
              </w:rPr>
            </w:pPr>
            <w:r>
              <w:rPr>
                <w:rFonts w:ascii="宋体" w:hAnsi="宋体" w:eastAsia="宋体" w:cs="宋体"/>
                <w:b/>
                <w:bCs/>
                <w:color w:val="auto"/>
                <w:kern w:val="0"/>
                <w:sz w:val="24"/>
                <w:szCs w:val="20"/>
                <w:highlight w:val="none"/>
              </w:rPr>
              <w:t>质疑函应采用下列方式之一提交：</w:t>
            </w:r>
          </w:p>
          <w:p w14:paraId="7DD4AE95">
            <w:pPr>
              <w:spacing w:line="360" w:lineRule="auto"/>
              <w:jc w:val="left"/>
              <w:rPr>
                <w:rFonts w:ascii="宋体" w:hAnsi="宋体" w:eastAsia="宋体" w:cs="宋体"/>
                <w:bCs/>
                <w:color w:val="auto"/>
                <w:kern w:val="0"/>
                <w:sz w:val="24"/>
                <w:szCs w:val="20"/>
                <w:highlight w:val="none"/>
              </w:rPr>
            </w:pPr>
            <w:r>
              <w:rPr>
                <w:rFonts w:hint="eastAsia" w:ascii="宋体" w:hAnsi="宋体" w:eastAsia="宋体" w:cs="宋体"/>
                <w:bCs/>
                <w:color w:val="auto"/>
                <w:kern w:val="0"/>
                <w:sz w:val="24"/>
                <w:szCs w:val="20"/>
                <w:highlight w:val="none"/>
              </w:rPr>
              <w:t>（1）邮件形式：将质疑函原件扫描发送至邮箱：</w:t>
            </w:r>
            <w:r>
              <w:rPr>
                <w:rFonts w:hint="eastAsia" w:ascii="宋体" w:hAnsi="宋体" w:eastAsia="宋体" w:cs="Times New Roman"/>
                <w:color w:val="auto"/>
                <w:kern w:val="0"/>
                <w:sz w:val="24"/>
                <w:szCs w:val="20"/>
                <w:highlight w:val="none"/>
                <w:lang w:eastAsia="zh-CN"/>
              </w:rPr>
              <w:t>xmgwtzzy@163.com</w:t>
            </w:r>
            <w:r>
              <w:rPr>
                <w:rFonts w:hint="eastAsia" w:ascii="宋体" w:hAnsi="宋体" w:eastAsia="宋体" w:cs="Times New Roman"/>
                <w:color w:val="auto"/>
                <w:kern w:val="0"/>
                <w:sz w:val="24"/>
                <w:szCs w:val="20"/>
                <w:highlight w:val="none"/>
              </w:rPr>
              <w:t>。收到质疑函的时间以邮箱显示的收到时间为准。质疑答复过程中需要核对原件的，质疑人应提供原件核查，否则相关资料可能不被认可。</w:t>
            </w:r>
          </w:p>
          <w:p w14:paraId="7C8B6431">
            <w:pPr>
              <w:spacing w:line="360" w:lineRule="auto"/>
              <w:jc w:val="left"/>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（2）快递形式：</w:t>
            </w:r>
            <w:r>
              <w:rPr>
                <w:rFonts w:hint="eastAsia" w:ascii="宋体" w:hAnsi="宋体" w:eastAsia="宋体" w:cs="宋体"/>
                <w:bCs/>
                <w:color w:val="auto"/>
                <w:kern w:val="0"/>
                <w:sz w:val="24"/>
                <w:szCs w:val="20"/>
                <w:highlight w:val="none"/>
              </w:rPr>
              <w:t>将质疑函原件快递至厦门市湖滨南路81号光大银行大厦1</w:t>
            </w:r>
            <w:r>
              <w:rPr>
                <w:rFonts w:hint="eastAsia" w:ascii="宋体" w:hAnsi="宋体" w:eastAsia="宋体" w:cs="宋体"/>
                <w:bCs/>
                <w:color w:val="auto"/>
                <w:kern w:val="0"/>
                <w:sz w:val="24"/>
                <w:szCs w:val="20"/>
                <w:highlight w:val="none"/>
                <w:lang w:val="en-US" w:eastAsia="zh-CN"/>
              </w:rPr>
              <w:t>8</w:t>
            </w:r>
            <w:r>
              <w:rPr>
                <w:rFonts w:hint="eastAsia" w:ascii="宋体" w:hAnsi="宋体" w:eastAsia="宋体" w:cs="宋体"/>
                <w:bCs/>
                <w:color w:val="auto"/>
                <w:kern w:val="0"/>
                <w:sz w:val="24"/>
                <w:szCs w:val="20"/>
                <w:highlight w:val="none"/>
              </w:rPr>
              <w:t>楼前台，收件人：</w:t>
            </w:r>
            <w:r>
              <w:rPr>
                <w:rFonts w:hint="eastAsia" w:ascii="宋体" w:hAnsi="宋体" w:eastAsia="宋体" w:cs="宋体"/>
                <w:bCs/>
                <w:color w:val="auto"/>
                <w:kern w:val="0"/>
                <w:sz w:val="24"/>
                <w:szCs w:val="20"/>
                <w:highlight w:val="none"/>
                <w:lang w:val="en-US" w:eastAsia="zh-CN"/>
              </w:rPr>
              <w:t>张</w:t>
            </w:r>
            <w:r>
              <w:rPr>
                <w:rFonts w:hint="eastAsia" w:ascii="宋体" w:hAnsi="宋体" w:eastAsia="宋体" w:cs="宋体"/>
                <w:bCs/>
                <w:color w:val="auto"/>
                <w:kern w:val="0"/>
                <w:sz w:val="24"/>
                <w:szCs w:val="20"/>
                <w:highlight w:val="none"/>
              </w:rPr>
              <w:t>小姐，电话：0592-</w:t>
            </w:r>
            <w:r>
              <w:rPr>
                <w:rFonts w:hint="eastAsia" w:ascii="宋体" w:hAnsi="宋体" w:eastAsia="宋体" w:cs="宋体"/>
                <w:bCs/>
                <w:color w:val="auto"/>
                <w:kern w:val="0"/>
                <w:sz w:val="24"/>
                <w:szCs w:val="20"/>
                <w:highlight w:val="none"/>
                <w:lang w:val="en-US" w:eastAsia="zh-CN"/>
              </w:rPr>
              <w:t>2279850</w:t>
            </w:r>
            <w:r>
              <w:rPr>
                <w:rFonts w:hint="eastAsia" w:ascii="宋体" w:hAnsi="宋体" w:eastAsia="宋体" w:cs="宋体"/>
                <w:bCs/>
                <w:color w:val="auto"/>
                <w:kern w:val="0"/>
                <w:sz w:val="24"/>
                <w:szCs w:val="20"/>
                <w:highlight w:val="none"/>
              </w:rPr>
              <w:t>。</w:t>
            </w:r>
            <w:r>
              <w:rPr>
                <w:rFonts w:hint="eastAsia" w:ascii="宋体" w:hAnsi="宋体" w:eastAsia="宋体" w:cs="Times New Roman"/>
                <w:color w:val="auto"/>
                <w:kern w:val="0"/>
                <w:sz w:val="24"/>
                <w:szCs w:val="20"/>
                <w:highlight w:val="none"/>
              </w:rPr>
              <w:t>收到质疑函的时间以快递签收时间为准。</w:t>
            </w:r>
          </w:p>
          <w:p w14:paraId="03ABB7F5">
            <w:pPr>
              <w:spacing w:line="360" w:lineRule="auto"/>
              <w:jc w:val="left"/>
              <w:rPr>
                <w:rFonts w:ascii="宋体" w:hAnsi="宋体" w:eastAsia="宋体" w:cs="Times New Roman"/>
                <w:color w:val="auto"/>
                <w:kern w:val="0"/>
                <w:sz w:val="24"/>
                <w:szCs w:val="20"/>
                <w:highlight w:val="none"/>
              </w:rPr>
            </w:pPr>
            <w:r>
              <w:rPr>
                <w:rFonts w:hint="eastAsia" w:ascii="宋体" w:hAnsi="宋体" w:eastAsia="宋体" w:cs="宋体"/>
                <w:color w:val="auto"/>
                <w:kern w:val="0"/>
                <w:sz w:val="24"/>
                <w:szCs w:val="20"/>
                <w:highlight w:val="none"/>
              </w:rPr>
              <w:t>（3）现场送达：</w:t>
            </w:r>
            <w:r>
              <w:rPr>
                <w:rFonts w:hint="eastAsia" w:ascii="宋体" w:hAnsi="宋体" w:eastAsia="宋体" w:cs="宋体"/>
                <w:bCs/>
                <w:color w:val="auto"/>
                <w:kern w:val="0"/>
                <w:sz w:val="24"/>
                <w:szCs w:val="20"/>
                <w:highlight w:val="none"/>
              </w:rPr>
              <w:t>将质疑函原件现场送至厦门市湖滨南路81号光大银行大厦1</w:t>
            </w:r>
            <w:r>
              <w:rPr>
                <w:rFonts w:hint="eastAsia" w:ascii="宋体" w:hAnsi="宋体" w:eastAsia="宋体" w:cs="宋体"/>
                <w:bCs/>
                <w:color w:val="auto"/>
                <w:kern w:val="0"/>
                <w:sz w:val="24"/>
                <w:szCs w:val="20"/>
                <w:highlight w:val="none"/>
                <w:lang w:val="en-US" w:eastAsia="zh-CN"/>
              </w:rPr>
              <w:t>8</w:t>
            </w:r>
            <w:r>
              <w:rPr>
                <w:rFonts w:hint="eastAsia" w:ascii="宋体" w:hAnsi="宋体" w:eastAsia="宋体" w:cs="宋体"/>
                <w:bCs/>
                <w:color w:val="auto"/>
                <w:kern w:val="0"/>
                <w:sz w:val="24"/>
                <w:szCs w:val="20"/>
                <w:highlight w:val="none"/>
              </w:rPr>
              <w:t>楼前台。</w:t>
            </w:r>
            <w:r>
              <w:rPr>
                <w:rFonts w:hint="eastAsia" w:ascii="宋体" w:hAnsi="宋体" w:eastAsia="宋体" w:cs="Times New Roman"/>
                <w:color w:val="auto"/>
                <w:kern w:val="0"/>
                <w:sz w:val="24"/>
                <w:szCs w:val="20"/>
                <w:highlight w:val="none"/>
              </w:rPr>
              <w:t>收到质疑函的时间以前台签收时间为准。</w:t>
            </w:r>
          </w:p>
          <w:p w14:paraId="179420C6">
            <w:pPr>
              <w:spacing w:line="360" w:lineRule="auto"/>
              <w:jc w:val="left"/>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注：提交质疑函须附上系统报名截图，质疑函须符合第三章第15条质疑的要求。</w:t>
            </w:r>
          </w:p>
        </w:tc>
      </w:tr>
      <w:tr w14:paraId="1826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0F83921C">
            <w:pPr>
              <w:spacing w:line="360" w:lineRule="auto"/>
              <w:jc w:val="center"/>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12</w:t>
            </w:r>
          </w:p>
        </w:tc>
        <w:tc>
          <w:tcPr>
            <w:tcW w:w="1401" w:type="dxa"/>
            <w:vAlign w:val="center"/>
          </w:tcPr>
          <w:p w14:paraId="7D13EEF9">
            <w:pPr>
              <w:spacing w:line="360" w:lineRule="auto"/>
              <w:jc w:val="center"/>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w:t>
            </w:r>
          </w:p>
        </w:tc>
        <w:tc>
          <w:tcPr>
            <w:tcW w:w="6999" w:type="dxa"/>
          </w:tcPr>
          <w:p w14:paraId="537CFDC3">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关于投标保证金：</w:t>
            </w:r>
            <w:r>
              <w:rPr>
                <w:rFonts w:ascii="宋体" w:hAnsi="宋体" w:eastAsia="宋体" w:cs="Times New Roman"/>
                <w:color w:val="auto"/>
                <w:kern w:val="0"/>
                <w:sz w:val="24"/>
                <w:szCs w:val="20"/>
                <w:highlight w:val="none"/>
              </w:rPr>
              <w:t xml:space="preserve"> </w:t>
            </w:r>
          </w:p>
          <w:p w14:paraId="3A48741D">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本项目如要求提交投标保证金，供应商为中小企业的，可按招标文件要求的投标保证金数额的50%提交投标保证金。</w:t>
            </w:r>
          </w:p>
        </w:tc>
      </w:tr>
      <w:tr w14:paraId="42EC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14:paraId="01BF91BF">
            <w:pPr>
              <w:spacing w:line="360" w:lineRule="auto"/>
              <w:jc w:val="center"/>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12</w:t>
            </w:r>
          </w:p>
        </w:tc>
        <w:tc>
          <w:tcPr>
            <w:tcW w:w="1401" w:type="dxa"/>
            <w:vAlign w:val="center"/>
          </w:tcPr>
          <w:p w14:paraId="77BDDE4E">
            <w:pPr>
              <w:spacing w:line="360" w:lineRule="auto"/>
              <w:jc w:val="center"/>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w:t>
            </w:r>
          </w:p>
        </w:tc>
        <w:tc>
          <w:tcPr>
            <w:tcW w:w="6999" w:type="dxa"/>
          </w:tcPr>
          <w:p w14:paraId="027F6709">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本项目的核心产品为：</w:t>
            </w:r>
          </w:p>
          <w:p w14:paraId="3442D56C">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采购包1：</w:t>
            </w:r>
            <w:r>
              <w:rPr>
                <w:rFonts w:hint="eastAsia" w:ascii="宋体" w:hAnsi="宋体" w:eastAsia="宋体" w:cs="宋体"/>
                <w:b w:val="0"/>
                <w:bCs/>
                <w:color w:val="auto"/>
                <w:kern w:val="2"/>
                <w:sz w:val="24"/>
                <w:szCs w:val="24"/>
                <w:highlight w:val="none"/>
                <w:lang w:val="en-US" w:eastAsia="zh-CN" w:bidi="ar-SA"/>
              </w:rPr>
              <w:t>飞行时间质谱系统主机</w:t>
            </w:r>
          </w:p>
          <w:p w14:paraId="3E17D1FF">
            <w:pPr>
              <w:spacing w:line="360" w:lineRule="auto"/>
              <w:rPr>
                <w:rFonts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注：多家投标人提供的核心产品中有任意一个对应产品品牌相同的，按照第四章第6.4条第（2）款第①、②规定处理。</w:t>
            </w:r>
          </w:p>
        </w:tc>
      </w:tr>
    </w:tbl>
    <w:p w14:paraId="59FDF67F">
      <w:pPr>
        <w:spacing w:line="360" w:lineRule="auto"/>
        <w:jc w:val="left"/>
        <w:rPr>
          <w:rFonts w:ascii="宋体" w:hAnsi="宋体" w:eastAsia="宋体" w:cs="宋体"/>
          <w:color w:val="auto"/>
          <w:kern w:val="0"/>
          <w:sz w:val="18"/>
          <w:szCs w:val="18"/>
          <w:highlight w:val="none"/>
        </w:rPr>
      </w:pPr>
    </w:p>
    <w:p w14:paraId="4B7291F6">
      <w:pPr>
        <w:spacing w:line="360" w:lineRule="auto"/>
        <w:rPr>
          <w:rFonts w:ascii="黑体" w:hAnsi="黑体" w:eastAsia="黑体"/>
          <w:b/>
          <w:color w:val="auto"/>
          <w:sz w:val="32"/>
          <w:szCs w:val="32"/>
          <w:highlight w:val="none"/>
        </w:rPr>
      </w:pPr>
      <w:bookmarkStart w:id="23" w:name="_Toc100307866"/>
      <w:r>
        <w:rPr>
          <w:rFonts w:hint="eastAsia" w:ascii="黑体" w:hAnsi="黑体" w:eastAsia="黑体"/>
          <w:b/>
          <w:color w:val="auto"/>
          <w:sz w:val="32"/>
          <w:szCs w:val="32"/>
          <w:highlight w:val="none"/>
        </w:rPr>
        <w:t>二、对《第三章  投标人须知》的内容补充如下：</w:t>
      </w:r>
      <w:bookmarkEnd w:id="23"/>
    </w:p>
    <w:p w14:paraId="167E6923">
      <w:pPr>
        <w:spacing w:line="360" w:lineRule="auto"/>
        <w:rPr>
          <w:rFonts w:ascii="黑体" w:hAnsi="黑体" w:eastAsia="黑体"/>
          <w:b/>
          <w:color w:val="auto"/>
          <w:sz w:val="32"/>
          <w:szCs w:val="32"/>
          <w:highlight w:val="none"/>
        </w:rPr>
      </w:pPr>
      <w:bookmarkStart w:id="24" w:name="_Toc100307867"/>
      <w:r>
        <w:rPr>
          <w:rFonts w:hint="eastAsia" w:ascii="黑体" w:hAnsi="黑体" w:eastAsia="黑体"/>
          <w:b/>
          <w:color w:val="auto"/>
          <w:sz w:val="32"/>
          <w:szCs w:val="32"/>
          <w:highlight w:val="none"/>
        </w:rPr>
        <w:t>（一）《八、政府采购政策》内容补充如下：</w:t>
      </w:r>
      <w:bookmarkEnd w:id="24"/>
    </w:p>
    <w:p w14:paraId="6D6A427B">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非专门面向中小企业采购项目优惠办法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193"/>
      </w:tblGrid>
      <w:tr w14:paraId="5C0E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29BDA50B">
            <w:pPr>
              <w:spacing w:line="360" w:lineRule="auto"/>
              <w:jc w:val="center"/>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中型、小型、微型企业界定</w:t>
            </w:r>
          </w:p>
        </w:tc>
        <w:tc>
          <w:tcPr>
            <w:tcW w:w="7193" w:type="dxa"/>
            <w:vAlign w:val="center"/>
          </w:tcPr>
          <w:p w14:paraId="30AEBA63">
            <w:pPr>
              <w:spacing w:line="360" w:lineRule="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详见第三章第17.3条的相关规定。</w:t>
            </w:r>
          </w:p>
        </w:tc>
      </w:tr>
      <w:tr w14:paraId="6698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6C122BBE">
            <w:pPr>
              <w:spacing w:line="360" w:lineRule="auto"/>
              <w:jc w:val="center"/>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优惠办法</w:t>
            </w:r>
          </w:p>
        </w:tc>
        <w:tc>
          <w:tcPr>
            <w:tcW w:w="7193" w:type="dxa"/>
            <w:vAlign w:val="center"/>
          </w:tcPr>
          <w:p w14:paraId="3133E92E">
            <w:pPr>
              <w:spacing w:line="360" w:lineRule="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主要货物（配件、辅材除外，具体详见下文《中小企业声明函》）全部由小微企业制造的，对投标总价给予15%的扣除，用扣除后的价格参加评审。</w:t>
            </w:r>
          </w:p>
        </w:tc>
      </w:tr>
      <w:tr w14:paraId="0B55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64EC13DD">
            <w:pPr>
              <w:spacing w:line="360" w:lineRule="auto"/>
              <w:jc w:val="center"/>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享受优惠政策</w:t>
            </w:r>
          </w:p>
          <w:p w14:paraId="4D267256">
            <w:pPr>
              <w:spacing w:line="360" w:lineRule="auto"/>
              <w:jc w:val="center"/>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需提供的材料</w:t>
            </w:r>
          </w:p>
        </w:tc>
        <w:tc>
          <w:tcPr>
            <w:tcW w:w="7193" w:type="dxa"/>
            <w:vAlign w:val="center"/>
          </w:tcPr>
          <w:p w14:paraId="50CD0C5D">
            <w:pPr>
              <w:spacing w:line="360" w:lineRule="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投标文件中需提供《中小企业声明函》。若制造企业为监狱企业、残疾人福利性单位的，可不填写《中小企业声明函》，按第三章第17.3条的相关要求提供相应材料即可。</w:t>
            </w:r>
          </w:p>
        </w:tc>
      </w:tr>
      <w:tr w14:paraId="4DEC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42782EF2">
            <w:pPr>
              <w:spacing w:line="360" w:lineRule="auto"/>
              <w:jc w:val="center"/>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注意事项</w:t>
            </w:r>
          </w:p>
        </w:tc>
        <w:tc>
          <w:tcPr>
            <w:tcW w:w="7193" w:type="dxa"/>
            <w:vAlign w:val="center"/>
          </w:tcPr>
          <w:p w14:paraId="6768C848">
            <w:pPr>
              <w:spacing w:line="360" w:lineRule="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1、请投标人根据《关于印发中小企业划型标准规定的通知》（工信部联企业〔2011〕300号）规定的标准对企业规模进行认定。</w:t>
            </w:r>
          </w:p>
          <w:p w14:paraId="49B74D46">
            <w:pPr>
              <w:spacing w:line="360" w:lineRule="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2、投标人应当对其出具的《中小企业声明函》真实性负责，投标人出具的《中小企业声明函》内容不实的，属于提供虚假材料谋取中标。在实际操作中，投标人希望获得政策支持的，应从制造商处获得充分、准确的信息。对相关制造商信息了解不充分，或者不能确定相关信息真实、准确的，不建议出具《中小企业声明函》。</w:t>
            </w:r>
          </w:p>
          <w:p w14:paraId="078B2F0B">
            <w:pPr>
              <w:spacing w:line="360" w:lineRule="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3、投标人需对声明的真实性负责，中标结果将同时公告中标供应商的《中小企业声明函》，投标人提供的声明函内容不实的，则属于提供虚假材料谋取中标情形，依照《政府采购法》等国家有关规定追究相应责任。</w:t>
            </w:r>
          </w:p>
        </w:tc>
      </w:tr>
      <w:tr w14:paraId="6586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2"/>
            <w:vAlign w:val="center"/>
          </w:tcPr>
          <w:p w14:paraId="21771B14">
            <w:pPr>
              <w:spacing w:line="360" w:lineRule="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注：1、促进中小企业发展、促进残疾人就业、支持监狱企业发展的优惠政策只适用一次，供应商不重复享受优惠政策。</w:t>
            </w:r>
          </w:p>
          <w:p w14:paraId="2F501E3C">
            <w:pPr>
              <w:spacing w:line="360" w:lineRule="auto"/>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2、根据财政部、工信部《政府采购促进中小企业发展管理办法》、《福建省财政厅关于促进中小企业政府采购合同融资健康开展的通知》等政策，投标人中标后如需融资，可通过“福建省政府采购金融服务网”（网址：</w:t>
            </w:r>
            <w:r>
              <w:rPr>
                <w:rFonts w:ascii="宋体" w:hAnsi="宋体" w:eastAsia="宋体" w:cs="Times New Roman"/>
                <w:color w:val="auto"/>
                <w:sz w:val="24"/>
                <w:szCs w:val="28"/>
                <w:highlight w:val="none"/>
              </w:rPr>
              <w:t>https://zfcg.czt.fujian.gov.cn/zcdservice/zcd/home/index</w:t>
            </w:r>
            <w:r>
              <w:rPr>
                <w:rFonts w:hint="eastAsia" w:ascii="宋体" w:hAnsi="宋体" w:eastAsia="宋体" w:cs="Times New Roman"/>
                <w:color w:val="auto"/>
                <w:sz w:val="24"/>
                <w:szCs w:val="28"/>
                <w:highlight w:val="none"/>
              </w:rPr>
              <w:t>）办理合同融资。</w:t>
            </w:r>
          </w:p>
        </w:tc>
      </w:tr>
    </w:tbl>
    <w:p w14:paraId="70509F5B">
      <w:pPr>
        <w:spacing w:line="360" w:lineRule="auto"/>
        <w:rPr>
          <w:rFonts w:ascii="宋体" w:hAnsi="宋体" w:eastAsia="宋体" w:cs="宋体"/>
          <w:color w:val="auto"/>
          <w:kern w:val="0"/>
          <w:sz w:val="24"/>
          <w:szCs w:val="24"/>
          <w:highlight w:val="none"/>
        </w:rPr>
        <w:sectPr>
          <w:footerReference r:id="rId5" w:type="first"/>
          <w:footerReference r:id="rId4" w:type="default"/>
          <w:pgSz w:w="11906" w:h="16838"/>
          <w:pgMar w:top="1418" w:right="1418" w:bottom="1418" w:left="1418" w:header="851" w:footer="992" w:gutter="0"/>
          <w:cols w:space="720" w:num="1"/>
          <w:titlePg/>
          <w:docGrid w:linePitch="312" w:charSpace="0"/>
        </w:sectPr>
      </w:pPr>
    </w:p>
    <w:p w14:paraId="4C60970E">
      <w:pPr>
        <w:spacing w:line="360" w:lineRule="auto"/>
        <w:rPr>
          <w:rFonts w:ascii="黑体" w:hAnsi="黑体" w:eastAsia="黑体" w:cs="宋体"/>
          <w:b/>
          <w:color w:val="auto"/>
          <w:kern w:val="0"/>
          <w:sz w:val="32"/>
          <w:szCs w:val="24"/>
          <w:highlight w:val="none"/>
        </w:rPr>
      </w:pPr>
      <w:r>
        <w:rPr>
          <w:rFonts w:hint="eastAsia" w:ascii="黑体" w:hAnsi="黑体" w:eastAsia="黑体" w:cs="宋体"/>
          <w:b/>
          <w:color w:val="auto"/>
          <w:kern w:val="0"/>
          <w:sz w:val="32"/>
          <w:szCs w:val="24"/>
          <w:highlight w:val="none"/>
        </w:rPr>
        <w:t>三、对《第七章  电子投标文件格式》的内容补充如下：</w:t>
      </w:r>
    </w:p>
    <w:p w14:paraId="7A51417D">
      <w:pPr>
        <w:spacing w:line="360" w:lineRule="auto"/>
        <w:rPr>
          <w:rFonts w:ascii="黑体" w:hAnsi="黑体" w:eastAsia="黑体" w:cs="宋体"/>
          <w:b/>
          <w:color w:val="auto"/>
          <w:kern w:val="0"/>
          <w:sz w:val="32"/>
          <w:szCs w:val="24"/>
          <w:highlight w:val="none"/>
        </w:rPr>
      </w:pPr>
      <w:r>
        <w:rPr>
          <w:rFonts w:hint="eastAsia" w:ascii="黑体" w:hAnsi="黑体" w:eastAsia="黑体" w:cs="宋体"/>
          <w:b/>
          <w:color w:val="auto"/>
          <w:kern w:val="0"/>
          <w:sz w:val="32"/>
          <w:szCs w:val="24"/>
          <w:highlight w:val="none"/>
        </w:rPr>
        <w:t>（一）《报价部分》的格式更改如下：</w:t>
      </w:r>
    </w:p>
    <w:p w14:paraId="28361E6F">
      <w:pPr>
        <w:spacing w:line="360" w:lineRule="auto"/>
        <w:jc w:val="center"/>
        <w:rPr>
          <w:rFonts w:ascii="黑体" w:hAnsi="黑体" w:eastAsia="黑体" w:cs="宋体"/>
          <w:b/>
          <w:bCs/>
          <w:color w:val="auto"/>
          <w:kern w:val="0"/>
          <w:sz w:val="28"/>
          <w:szCs w:val="18"/>
          <w:highlight w:val="none"/>
        </w:rPr>
      </w:pPr>
      <w:r>
        <w:rPr>
          <w:rFonts w:ascii="黑体" w:hAnsi="黑体" w:eastAsia="黑体" w:cs="宋体"/>
          <w:b/>
          <w:bCs/>
          <w:color w:val="auto"/>
          <w:kern w:val="0"/>
          <w:sz w:val="28"/>
          <w:szCs w:val="18"/>
          <w:highlight w:val="none"/>
        </w:rPr>
        <w:t>三-2小型、微型企业产品等价格扣除证明材料（若有）</w:t>
      </w:r>
    </w:p>
    <w:p w14:paraId="61C8556F">
      <w:pPr>
        <w:spacing w:beforeLines="100" w:afterLines="100"/>
        <w:jc w:val="center"/>
        <w:rPr>
          <w:rFonts w:ascii="宋体" w:hAnsi="宋体" w:eastAsia="宋体" w:cs="Times New Roman"/>
          <w:b/>
          <w:color w:val="auto"/>
          <w:spacing w:val="6"/>
          <w:sz w:val="32"/>
          <w:szCs w:val="32"/>
          <w:highlight w:val="none"/>
        </w:rPr>
      </w:pPr>
      <w:r>
        <w:rPr>
          <w:rFonts w:hint="eastAsia" w:ascii="宋体" w:hAnsi="宋体" w:eastAsia="宋体" w:cs="Times New Roman"/>
          <w:b/>
          <w:color w:val="auto"/>
          <w:spacing w:val="6"/>
          <w:sz w:val="32"/>
          <w:szCs w:val="32"/>
          <w:highlight w:val="none"/>
        </w:rPr>
        <w:t>中小企业声明函（货物）</w:t>
      </w:r>
    </w:p>
    <w:p w14:paraId="16515CEA">
      <w:pPr>
        <w:spacing w:line="360" w:lineRule="auto"/>
        <w:ind w:firstLine="480" w:firstLineChars="200"/>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本公司（联合体）郑重声明，根据《政府采购促进中小企业发展管理办法》（财库〔2020〕46号）的规定，本公司（联合体）参加【单位名称】的【项目名称】采购活动，属于【工业】行业，提供的货物全部由符合政策要求的中小企业制造。相关企业（含联合体中的中小企业、签订分包意向协议的中小企业） 的具体情况如下：</w:t>
      </w:r>
    </w:p>
    <w:tbl>
      <w:tblPr>
        <w:tblStyle w:val="18"/>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02"/>
        <w:gridCol w:w="843"/>
        <w:gridCol w:w="932"/>
        <w:gridCol w:w="936"/>
        <w:gridCol w:w="1084"/>
        <w:gridCol w:w="1134"/>
        <w:gridCol w:w="2268"/>
      </w:tblGrid>
      <w:tr w14:paraId="79BE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1D4DE239">
            <w:pPr>
              <w:spacing w:line="360" w:lineRule="auto"/>
              <w:jc w:val="center"/>
              <w:rPr>
                <w:rFonts w:ascii="宋体" w:hAnsi="宋体" w:eastAsia="宋体" w:cs="Times New Roman"/>
                <w:color w:val="auto"/>
                <w:sz w:val="24"/>
                <w:szCs w:val="32"/>
                <w:highlight w:val="none"/>
              </w:rPr>
            </w:pPr>
            <w:r>
              <w:rPr>
                <w:rFonts w:ascii="宋体" w:hAnsi="宋体" w:eastAsia="宋体" w:cs="Times New Roman"/>
                <w:color w:val="auto"/>
                <w:sz w:val="24"/>
                <w:szCs w:val="32"/>
                <w:highlight w:val="none"/>
              </w:rPr>
              <w:t>序号</w:t>
            </w:r>
          </w:p>
        </w:tc>
        <w:tc>
          <w:tcPr>
            <w:tcW w:w="1402" w:type="dxa"/>
            <w:vAlign w:val="center"/>
          </w:tcPr>
          <w:p w14:paraId="7C492D7E">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标的名称</w:t>
            </w:r>
          </w:p>
        </w:tc>
        <w:tc>
          <w:tcPr>
            <w:tcW w:w="843" w:type="dxa"/>
            <w:vAlign w:val="center"/>
          </w:tcPr>
          <w:p w14:paraId="6E81ED2E">
            <w:pPr>
              <w:spacing w:line="360" w:lineRule="auto"/>
              <w:jc w:val="center"/>
              <w:rPr>
                <w:rFonts w:ascii="宋体" w:hAnsi="宋体" w:eastAsia="宋体" w:cs="Times New Roman"/>
                <w:color w:val="auto"/>
                <w:sz w:val="24"/>
                <w:szCs w:val="32"/>
                <w:highlight w:val="none"/>
              </w:rPr>
            </w:pPr>
            <w:r>
              <w:rPr>
                <w:rFonts w:ascii="宋体" w:hAnsi="宋体" w:eastAsia="宋体" w:cs="Times New Roman"/>
                <w:color w:val="auto"/>
                <w:sz w:val="24"/>
                <w:szCs w:val="32"/>
                <w:highlight w:val="none"/>
              </w:rPr>
              <w:t>行业</w:t>
            </w:r>
          </w:p>
        </w:tc>
        <w:tc>
          <w:tcPr>
            <w:tcW w:w="932" w:type="dxa"/>
            <w:vAlign w:val="center"/>
          </w:tcPr>
          <w:p w14:paraId="1488699E">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制造商全称</w:t>
            </w:r>
          </w:p>
        </w:tc>
        <w:tc>
          <w:tcPr>
            <w:tcW w:w="936" w:type="dxa"/>
            <w:vAlign w:val="center"/>
          </w:tcPr>
          <w:p w14:paraId="4CFA6993">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从业</w:t>
            </w:r>
          </w:p>
          <w:p w14:paraId="620F7C60">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人员</w:t>
            </w:r>
          </w:p>
          <w:p w14:paraId="7FEAAB13">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（人）</w:t>
            </w:r>
          </w:p>
        </w:tc>
        <w:tc>
          <w:tcPr>
            <w:tcW w:w="1084" w:type="dxa"/>
            <w:vAlign w:val="center"/>
          </w:tcPr>
          <w:p w14:paraId="2BDCF214">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营业</w:t>
            </w:r>
          </w:p>
          <w:p w14:paraId="1D9430DE">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收入</w:t>
            </w:r>
          </w:p>
          <w:p w14:paraId="257939DA">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（万元）</w:t>
            </w:r>
          </w:p>
        </w:tc>
        <w:tc>
          <w:tcPr>
            <w:tcW w:w="1134" w:type="dxa"/>
            <w:vAlign w:val="center"/>
          </w:tcPr>
          <w:p w14:paraId="7DF3F985">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资产</w:t>
            </w:r>
          </w:p>
          <w:p w14:paraId="07718603">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总额</w:t>
            </w:r>
          </w:p>
          <w:p w14:paraId="6AD85EF1">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（万元）</w:t>
            </w:r>
          </w:p>
        </w:tc>
        <w:tc>
          <w:tcPr>
            <w:tcW w:w="2268" w:type="dxa"/>
            <w:vAlign w:val="center"/>
          </w:tcPr>
          <w:p w14:paraId="0F37825C">
            <w:pPr>
              <w:spacing w:line="360" w:lineRule="auto"/>
              <w:jc w:val="center"/>
              <w:rPr>
                <w:rFonts w:ascii="宋体" w:hAnsi="宋体" w:eastAsia="宋体" w:cs="Times New Roman"/>
                <w:color w:val="auto"/>
                <w:sz w:val="24"/>
                <w:szCs w:val="32"/>
                <w:highlight w:val="none"/>
              </w:rPr>
            </w:pPr>
            <w:r>
              <w:rPr>
                <w:rFonts w:ascii="宋体" w:hAnsi="宋体" w:eastAsia="宋体" w:cs="Times New Roman"/>
                <w:color w:val="auto"/>
                <w:sz w:val="24"/>
                <w:szCs w:val="32"/>
                <w:highlight w:val="none"/>
              </w:rPr>
              <w:t>企业类型</w:t>
            </w:r>
          </w:p>
          <w:p w14:paraId="0B2D03FF">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（根据划型标准填写中型企业或小型企业或微型企业）</w:t>
            </w:r>
          </w:p>
        </w:tc>
      </w:tr>
      <w:tr w14:paraId="4BA4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0BBE9FE0">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1</w:t>
            </w:r>
          </w:p>
        </w:tc>
        <w:tc>
          <w:tcPr>
            <w:tcW w:w="1402" w:type="dxa"/>
            <w:vAlign w:val="center"/>
          </w:tcPr>
          <w:p w14:paraId="11B43E4B">
            <w:pPr>
              <w:spacing w:line="360" w:lineRule="auto"/>
              <w:jc w:val="center"/>
              <w:rPr>
                <w:rFonts w:ascii="宋体" w:hAnsi="宋体" w:eastAsia="宋体" w:cs="Times New Roman"/>
                <w:color w:val="auto"/>
                <w:sz w:val="24"/>
                <w:szCs w:val="32"/>
                <w:highlight w:val="none"/>
              </w:rPr>
            </w:pPr>
          </w:p>
        </w:tc>
        <w:tc>
          <w:tcPr>
            <w:tcW w:w="843" w:type="dxa"/>
            <w:vAlign w:val="center"/>
          </w:tcPr>
          <w:p w14:paraId="302022E7">
            <w:pPr>
              <w:spacing w:line="360" w:lineRule="auto"/>
              <w:jc w:val="center"/>
              <w:rPr>
                <w:rFonts w:ascii="宋体" w:hAnsi="宋体" w:eastAsia="宋体" w:cs="Times New Roman"/>
                <w:color w:val="auto"/>
                <w:sz w:val="24"/>
                <w:szCs w:val="32"/>
                <w:highlight w:val="none"/>
              </w:rPr>
            </w:pPr>
            <w:r>
              <w:rPr>
                <w:rFonts w:ascii="宋体" w:hAnsi="宋体" w:eastAsia="宋体" w:cs="Times New Roman"/>
                <w:color w:val="auto"/>
                <w:sz w:val="24"/>
                <w:szCs w:val="32"/>
                <w:highlight w:val="none"/>
              </w:rPr>
              <w:t>工业</w:t>
            </w:r>
          </w:p>
        </w:tc>
        <w:tc>
          <w:tcPr>
            <w:tcW w:w="932" w:type="dxa"/>
            <w:vAlign w:val="center"/>
          </w:tcPr>
          <w:p w14:paraId="3A75739D">
            <w:pPr>
              <w:spacing w:line="360" w:lineRule="auto"/>
              <w:jc w:val="center"/>
              <w:rPr>
                <w:rFonts w:ascii="宋体" w:hAnsi="宋体" w:eastAsia="宋体" w:cs="Times New Roman"/>
                <w:color w:val="auto"/>
                <w:sz w:val="24"/>
                <w:szCs w:val="32"/>
                <w:highlight w:val="none"/>
              </w:rPr>
            </w:pPr>
          </w:p>
        </w:tc>
        <w:tc>
          <w:tcPr>
            <w:tcW w:w="936" w:type="dxa"/>
            <w:vAlign w:val="center"/>
          </w:tcPr>
          <w:p w14:paraId="1D4E7942">
            <w:pPr>
              <w:spacing w:line="360" w:lineRule="auto"/>
              <w:jc w:val="center"/>
              <w:rPr>
                <w:rFonts w:ascii="宋体" w:hAnsi="宋体" w:eastAsia="宋体" w:cs="Times New Roman"/>
                <w:color w:val="auto"/>
                <w:sz w:val="24"/>
                <w:szCs w:val="32"/>
                <w:highlight w:val="none"/>
              </w:rPr>
            </w:pPr>
          </w:p>
        </w:tc>
        <w:tc>
          <w:tcPr>
            <w:tcW w:w="1084" w:type="dxa"/>
            <w:vAlign w:val="center"/>
          </w:tcPr>
          <w:p w14:paraId="5B2A9F99">
            <w:pPr>
              <w:spacing w:line="360" w:lineRule="auto"/>
              <w:jc w:val="center"/>
              <w:rPr>
                <w:rFonts w:ascii="宋体" w:hAnsi="宋体" w:eastAsia="宋体" w:cs="Times New Roman"/>
                <w:color w:val="auto"/>
                <w:sz w:val="24"/>
                <w:szCs w:val="32"/>
                <w:highlight w:val="none"/>
              </w:rPr>
            </w:pPr>
          </w:p>
        </w:tc>
        <w:tc>
          <w:tcPr>
            <w:tcW w:w="1134" w:type="dxa"/>
            <w:vAlign w:val="center"/>
          </w:tcPr>
          <w:p w14:paraId="6EC99C4C">
            <w:pPr>
              <w:spacing w:line="360" w:lineRule="auto"/>
              <w:jc w:val="center"/>
              <w:rPr>
                <w:rFonts w:ascii="宋体" w:hAnsi="宋体" w:eastAsia="宋体" w:cs="Times New Roman"/>
                <w:color w:val="auto"/>
                <w:sz w:val="24"/>
                <w:szCs w:val="32"/>
                <w:highlight w:val="none"/>
              </w:rPr>
            </w:pPr>
          </w:p>
        </w:tc>
        <w:tc>
          <w:tcPr>
            <w:tcW w:w="2268" w:type="dxa"/>
            <w:vAlign w:val="center"/>
          </w:tcPr>
          <w:p w14:paraId="0ACBEABC">
            <w:pPr>
              <w:spacing w:line="360" w:lineRule="auto"/>
              <w:jc w:val="center"/>
              <w:rPr>
                <w:rFonts w:ascii="宋体" w:hAnsi="宋体" w:eastAsia="宋体" w:cs="Times New Roman"/>
                <w:color w:val="auto"/>
                <w:sz w:val="24"/>
                <w:szCs w:val="32"/>
                <w:highlight w:val="none"/>
              </w:rPr>
            </w:pPr>
          </w:p>
        </w:tc>
      </w:tr>
      <w:tr w14:paraId="2BCD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4F588320">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2</w:t>
            </w:r>
          </w:p>
        </w:tc>
        <w:tc>
          <w:tcPr>
            <w:tcW w:w="1402" w:type="dxa"/>
            <w:vAlign w:val="center"/>
          </w:tcPr>
          <w:p w14:paraId="3F4389D1">
            <w:pPr>
              <w:spacing w:line="360" w:lineRule="auto"/>
              <w:jc w:val="center"/>
              <w:rPr>
                <w:rFonts w:ascii="宋体" w:hAnsi="宋体" w:eastAsia="宋体" w:cs="Times New Roman"/>
                <w:color w:val="auto"/>
                <w:sz w:val="24"/>
                <w:szCs w:val="32"/>
                <w:highlight w:val="none"/>
              </w:rPr>
            </w:pPr>
          </w:p>
        </w:tc>
        <w:tc>
          <w:tcPr>
            <w:tcW w:w="843" w:type="dxa"/>
            <w:vAlign w:val="center"/>
          </w:tcPr>
          <w:p w14:paraId="6EA438B0">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工业</w:t>
            </w:r>
          </w:p>
        </w:tc>
        <w:tc>
          <w:tcPr>
            <w:tcW w:w="932" w:type="dxa"/>
            <w:vAlign w:val="center"/>
          </w:tcPr>
          <w:p w14:paraId="1B2EB35C">
            <w:pPr>
              <w:spacing w:line="360" w:lineRule="auto"/>
              <w:jc w:val="center"/>
              <w:rPr>
                <w:rFonts w:ascii="宋体" w:hAnsi="宋体" w:eastAsia="宋体" w:cs="Times New Roman"/>
                <w:color w:val="auto"/>
                <w:sz w:val="24"/>
                <w:szCs w:val="32"/>
                <w:highlight w:val="none"/>
              </w:rPr>
            </w:pPr>
          </w:p>
        </w:tc>
        <w:tc>
          <w:tcPr>
            <w:tcW w:w="936" w:type="dxa"/>
            <w:vAlign w:val="center"/>
          </w:tcPr>
          <w:p w14:paraId="77EB7B51">
            <w:pPr>
              <w:spacing w:line="360" w:lineRule="auto"/>
              <w:jc w:val="center"/>
              <w:rPr>
                <w:rFonts w:ascii="宋体" w:hAnsi="宋体" w:eastAsia="宋体" w:cs="Times New Roman"/>
                <w:color w:val="auto"/>
                <w:sz w:val="24"/>
                <w:szCs w:val="32"/>
                <w:highlight w:val="none"/>
              </w:rPr>
            </w:pPr>
          </w:p>
        </w:tc>
        <w:tc>
          <w:tcPr>
            <w:tcW w:w="1084" w:type="dxa"/>
            <w:vAlign w:val="center"/>
          </w:tcPr>
          <w:p w14:paraId="78D556DC">
            <w:pPr>
              <w:spacing w:line="360" w:lineRule="auto"/>
              <w:jc w:val="center"/>
              <w:rPr>
                <w:rFonts w:ascii="宋体" w:hAnsi="宋体" w:eastAsia="宋体" w:cs="Times New Roman"/>
                <w:color w:val="auto"/>
                <w:sz w:val="24"/>
                <w:szCs w:val="32"/>
                <w:highlight w:val="none"/>
              </w:rPr>
            </w:pPr>
          </w:p>
        </w:tc>
        <w:tc>
          <w:tcPr>
            <w:tcW w:w="1134" w:type="dxa"/>
            <w:vAlign w:val="center"/>
          </w:tcPr>
          <w:p w14:paraId="0DD76211">
            <w:pPr>
              <w:spacing w:line="360" w:lineRule="auto"/>
              <w:jc w:val="center"/>
              <w:rPr>
                <w:rFonts w:ascii="宋体" w:hAnsi="宋体" w:eastAsia="宋体" w:cs="Times New Roman"/>
                <w:color w:val="auto"/>
                <w:sz w:val="24"/>
                <w:szCs w:val="32"/>
                <w:highlight w:val="none"/>
              </w:rPr>
            </w:pPr>
          </w:p>
        </w:tc>
        <w:tc>
          <w:tcPr>
            <w:tcW w:w="2268" w:type="dxa"/>
            <w:vAlign w:val="center"/>
          </w:tcPr>
          <w:p w14:paraId="582668C2">
            <w:pPr>
              <w:spacing w:line="360" w:lineRule="auto"/>
              <w:jc w:val="center"/>
              <w:rPr>
                <w:rFonts w:ascii="宋体" w:hAnsi="宋体" w:eastAsia="宋体" w:cs="Times New Roman"/>
                <w:color w:val="auto"/>
                <w:sz w:val="24"/>
                <w:szCs w:val="32"/>
                <w:highlight w:val="none"/>
              </w:rPr>
            </w:pPr>
          </w:p>
        </w:tc>
      </w:tr>
      <w:tr w14:paraId="7838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1DBB81C4">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3</w:t>
            </w:r>
          </w:p>
        </w:tc>
        <w:tc>
          <w:tcPr>
            <w:tcW w:w="1402" w:type="dxa"/>
            <w:vAlign w:val="center"/>
          </w:tcPr>
          <w:p w14:paraId="0470AA8F">
            <w:pPr>
              <w:spacing w:line="360" w:lineRule="auto"/>
              <w:jc w:val="center"/>
              <w:rPr>
                <w:rFonts w:ascii="宋体" w:hAnsi="宋体" w:eastAsia="宋体" w:cs="Times New Roman"/>
                <w:color w:val="auto"/>
                <w:sz w:val="24"/>
                <w:szCs w:val="32"/>
                <w:highlight w:val="none"/>
              </w:rPr>
            </w:pPr>
          </w:p>
        </w:tc>
        <w:tc>
          <w:tcPr>
            <w:tcW w:w="843" w:type="dxa"/>
            <w:vAlign w:val="center"/>
          </w:tcPr>
          <w:p w14:paraId="79A67DF8">
            <w:pPr>
              <w:spacing w:line="360" w:lineRule="auto"/>
              <w:jc w:val="center"/>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工业</w:t>
            </w:r>
          </w:p>
        </w:tc>
        <w:tc>
          <w:tcPr>
            <w:tcW w:w="932" w:type="dxa"/>
            <w:vAlign w:val="center"/>
          </w:tcPr>
          <w:p w14:paraId="2172B9DD">
            <w:pPr>
              <w:spacing w:line="360" w:lineRule="auto"/>
              <w:jc w:val="center"/>
              <w:rPr>
                <w:rFonts w:ascii="宋体" w:hAnsi="宋体" w:eastAsia="宋体" w:cs="Times New Roman"/>
                <w:color w:val="auto"/>
                <w:sz w:val="24"/>
                <w:szCs w:val="32"/>
                <w:highlight w:val="none"/>
              </w:rPr>
            </w:pPr>
          </w:p>
        </w:tc>
        <w:tc>
          <w:tcPr>
            <w:tcW w:w="936" w:type="dxa"/>
            <w:vAlign w:val="center"/>
          </w:tcPr>
          <w:p w14:paraId="0292F9BB">
            <w:pPr>
              <w:spacing w:line="360" w:lineRule="auto"/>
              <w:jc w:val="center"/>
              <w:rPr>
                <w:rFonts w:ascii="宋体" w:hAnsi="宋体" w:eastAsia="宋体" w:cs="Times New Roman"/>
                <w:color w:val="auto"/>
                <w:sz w:val="24"/>
                <w:szCs w:val="32"/>
                <w:highlight w:val="none"/>
              </w:rPr>
            </w:pPr>
          </w:p>
        </w:tc>
        <w:tc>
          <w:tcPr>
            <w:tcW w:w="1084" w:type="dxa"/>
            <w:vAlign w:val="center"/>
          </w:tcPr>
          <w:p w14:paraId="69AC8997">
            <w:pPr>
              <w:spacing w:line="360" w:lineRule="auto"/>
              <w:jc w:val="center"/>
              <w:rPr>
                <w:rFonts w:ascii="宋体" w:hAnsi="宋体" w:eastAsia="宋体" w:cs="Times New Roman"/>
                <w:color w:val="auto"/>
                <w:sz w:val="24"/>
                <w:szCs w:val="32"/>
                <w:highlight w:val="none"/>
              </w:rPr>
            </w:pPr>
          </w:p>
        </w:tc>
        <w:tc>
          <w:tcPr>
            <w:tcW w:w="1134" w:type="dxa"/>
            <w:vAlign w:val="center"/>
          </w:tcPr>
          <w:p w14:paraId="1F1A5D07">
            <w:pPr>
              <w:spacing w:line="360" w:lineRule="auto"/>
              <w:jc w:val="center"/>
              <w:rPr>
                <w:rFonts w:ascii="宋体" w:hAnsi="宋体" w:eastAsia="宋体" w:cs="Times New Roman"/>
                <w:color w:val="auto"/>
                <w:sz w:val="24"/>
                <w:szCs w:val="32"/>
                <w:highlight w:val="none"/>
              </w:rPr>
            </w:pPr>
          </w:p>
        </w:tc>
        <w:tc>
          <w:tcPr>
            <w:tcW w:w="2268" w:type="dxa"/>
            <w:vAlign w:val="center"/>
          </w:tcPr>
          <w:p w14:paraId="4558FDD1">
            <w:pPr>
              <w:spacing w:line="360" w:lineRule="auto"/>
              <w:jc w:val="center"/>
              <w:rPr>
                <w:rFonts w:ascii="宋体" w:hAnsi="宋体" w:eastAsia="宋体" w:cs="Times New Roman"/>
                <w:color w:val="auto"/>
                <w:sz w:val="24"/>
                <w:szCs w:val="32"/>
                <w:highlight w:val="none"/>
              </w:rPr>
            </w:pPr>
          </w:p>
        </w:tc>
      </w:tr>
    </w:tbl>
    <w:p w14:paraId="0F569B36">
      <w:pPr>
        <w:spacing w:line="360" w:lineRule="auto"/>
        <w:ind w:firstLine="480" w:firstLineChars="200"/>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以上企业，不属于大企业的分支机构，不存在控股股东为大企业的情形，也不存在与大企业的负责人为同一人的情形。</w:t>
      </w:r>
    </w:p>
    <w:p w14:paraId="2F0B35C2">
      <w:pPr>
        <w:spacing w:line="360" w:lineRule="auto"/>
        <w:ind w:firstLine="480" w:firstLineChars="200"/>
        <w:rPr>
          <w:rFonts w:ascii="宋体" w:hAnsi="宋体" w:eastAsia="宋体" w:cs="Times New Roman"/>
          <w:color w:val="auto"/>
          <w:sz w:val="24"/>
          <w:szCs w:val="32"/>
          <w:highlight w:val="none"/>
        </w:rPr>
      </w:pPr>
      <w:r>
        <w:rPr>
          <w:rFonts w:hint="eastAsia" w:ascii="宋体" w:hAnsi="宋体" w:eastAsia="宋体" w:cs="Times New Roman"/>
          <w:color w:val="auto"/>
          <w:sz w:val="24"/>
          <w:szCs w:val="32"/>
          <w:highlight w:val="none"/>
        </w:rPr>
        <w:t>本企业对上述声明内容的真实性负责。如有虚假，将依法承担相应责任。</w:t>
      </w:r>
    </w:p>
    <w:p w14:paraId="03CA14CF">
      <w:pPr>
        <w:ind w:firstLine="5040" w:firstLineChars="21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企业名称（盖章）：</w:t>
      </w:r>
      <w:r>
        <w:rPr>
          <w:rFonts w:ascii="宋体" w:hAnsi="宋体" w:eastAsia="宋体" w:cs="Times New Roman"/>
          <w:color w:val="auto"/>
          <w:sz w:val="24"/>
          <w:szCs w:val="24"/>
          <w:highlight w:val="none"/>
          <w:u w:val="single"/>
        </w:rPr>
        <w:t xml:space="preserve">        </w:t>
      </w:r>
    </w:p>
    <w:p w14:paraId="125B933F">
      <w:pPr>
        <w:ind w:firstLine="5040" w:firstLineChars="21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日期：</w:t>
      </w:r>
      <w:r>
        <w:rPr>
          <w:rFonts w:ascii="宋体" w:hAnsi="宋体" w:eastAsia="宋体" w:cs="Times New Roman"/>
          <w:color w:val="auto"/>
          <w:sz w:val="24"/>
          <w:szCs w:val="24"/>
          <w:highlight w:val="none"/>
          <w:u w:val="single"/>
        </w:rPr>
        <w:t xml:space="preserve">                   </w:t>
      </w:r>
    </w:p>
    <w:p w14:paraId="5114A865">
      <w:pPr>
        <w:spacing w:line="360" w:lineRule="auto"/>
        <w:rPr>
          <w:rFonts w:ascii="Calibri" w:hAnsi="Calibri" w:eastAsia="宋体" w:cs="Times New Roman"/>
          <w:color w:val="auto"/>
          <w:highlight w:val="none"/>
        </w:rPr>
      </w:pPr>
    </w:p>
    <w:p w14:paraId="04007A19">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填写说明：</w:t>
      </w:r>
    </w:p>
    <w:p w14:paraId="12C6609C">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1、填报的企业类型与划型标准不对应的，将可能导致不享受价格扣除。</w:t>
      </w:r>
    </w:p>
    <w:p w14:paraId="07391469">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2、从业人员、营业收入、资产总额填报上一年度数据，无上一年度数据的新成立企业可不填报，在空格内填“\”即可。</w:t>
      </w:r>
    </w:p>
    <w:p w14:paraId="65D105B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3、营业收入、资产总额应按财务审计报告上的数据填写，可填写完整数值，也可填写取整至万元的数值，如1234.56789万元可填写为1234万元。</w:t>
      </w:r>
      <w:r>
        <w:rPr>
          <w:rFonts w:hint="eastAsia" w:ascii="宋体" w:hAnsi="宋体" w:eastAsia="宋体" w:cs="Times New Roman"/>
          <w:color w:val="auto"/>
          <w:sz w:val="24"/>
          <w:szCs w:val="24"/>
          <w:highlight w:val="none"/>
        </w:rPr>
        <w:t>若填报的数据与投标人自己提供的上一年度财务审计报告数据有出入的，将可能导致不享受价格扣除。</w:t>
      </w:r>
    </w:p>
    <w:p w14:paraId="177EA9EB">
      <w:pPr>
        <w:spacing w:line="360" w:lineRule="auto"/>
        <w:ind w:firstLine="480" w:firstLineChars="200"/>
        <w:rPr>
          <w:rFonts w:ascii="宋体" w:hAnsi="宋体" w:eastAsia="宋体" w:cs="Times New Roman"/>
          <w:color w:val="auto"/>
          <w:sz w:val="24"/>
          <w:szCs w:val="24"/>
          <w:highlight w:val="none"/>
        </w:rPr>
      </w:pPr>
      <w:r>
        <w:rPr>
          <w:rFonts w:hint="eastAsia" w:ascii="宋体" w:hAnsi="宋体"/>
          <w:color w:val="auto"/>
          <w:sz w:val="24"/>
          <w:highlight w:val="none"/>
        </w:rPr>
        <w:t>4、从业人员数量建议按企业在国家企业信用信息公示系统中填报的上一年度年报数据填写。</w:t>
      </w:r>
    </w:p>
    <w:p w14:paraId="3CD983A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5、表格内的空格都要填写，同时不得删减、更改内容，否则将可能导致不享受价格扣除。</w:t>
      </w:r>
    </w:p>
    <w:p w14:paraId="787E092A">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szCs w:val="24"/>
          <w:highlight w:val="none"/>
        </w:rPr>
        <w:t>6、</w:t>
      </w:r>
      <w:r>
        <w:rPr>
          <w:rFonts w:hint="eastAsia" w:ascii="宋体" w:hAnsi="宋体" w:eastAsia="宋体" w:cs="Times New Roman"/>
          <w:color w:val="auto"/>
          <w:sz w:val="24"/>
          <w:highlight w:val="none"/>
        </w:rPr>
        <w:t>各行业划型标准如下，具体内容详见《关于印发中小企业划型标准规定的通知》（工信部联企业〔2011〕300号）：</w:t>
      </w:r>
    </w:p>
    <w:p w14:paraId="047CA236">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14:paraId="471ED86B">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166DAC9">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0840508">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CDB84BC">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D29F077">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CB32107">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740CE65">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5DD3269">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430A9A">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B4C63A4">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A023775">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1BF700B">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14179DE">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E103B18">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FF01A92">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（十六）其他未列明行业。从业人员300人以下的为中小微型企业。其中，从业人员100人及以上的为中型企业；从业人员10人及以上的为小型企业；从业人员10人以下的为微型企业。</w:t>
      </w:r>
    </w:p>
    <w:p w14:paraId="384240CC">
      <w:pPr>
        <w:rPr>
          <w:color w:val="auto"/>
          <w:highlight w:val="none"/>
        </w:rPr>
      </w:pPr>
    </w:p>
    <w:p w14:paraId="137B8877">
      <w:pPr>
        <w:rPr>
          <w:color w:val="auto"/>
          <w:highlight w:val="none"/>
        </w:rPr>
      </w:pPr>
    </w:p>
    <w:p w14:paraId="27205ED4">
      <w:pPr>
        <w:rPr>
          <w:color w:val="auto"/>
          <w:highlight w:val="none"/>
        </w:rPr>
      </w:pPr>
    </w:p>
    <w:p w14:paraId="0AF413C5">
      <w:pPr>
        <w:spacing w:before="50" w:after="50" w:line="360" w:lineRule="auto"/>
        <w:ind w:firstLine="562"/>
        <w:jc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三-1-①优先类节能产品、环境标志产品统计表（价格扣除适用，若有）</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879"/>
        <w:gridCol w:w="1880"/>
        <w:gridCol w:w="1080"/>
        <w:gridCol w:w="1081"/>
        <w:gridCol w:w="1081"/>
      </w:tblGrid>
      <w:tr w14:paraId="4E542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187" w:type="dxa"/>
            <w:vAlign w:val="center"/>
          </w:tcPr>
          <w:p w14:paraId="0942AAFC">
            <w:pPr>
              <w:spacing w:line="360" w:lineRule="auto"/>
              <w:jc w:val="center"/>
              <w:rPr>
                <w:rFonts w:asciiTheme="minorEastAsia" w:hAnsiTheme="minorEastAsia"/>
                <w:color w:val="auto"/>
                <w:sz w:val="24"/>
                <w:highlight w:val="none"/>
              </w:rPr>
            </w:pPr>
          </w:p>
        </w:tc>
        <w:tc>
          <w:tcPr>
            <w:tcW w:w="7001" w:type="dxa"/>
            <w:gridSpan w:val="5"/>
            <w:vAlign w:val="center"/>
          </w:tcPr>
          <w:p w14:paraId="74ECF892">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本采购包内属于节能、环境标志产品情况</w:t>
            </w:r>
          </w:p>
        </w:tc>
      </w:tr>
      <w:tr w14:paraId="23D8A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0DA6A7A9">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w:t>
            </w:r>
          </w:p>
        </w:tc>
        <w:tc>
          <w:tcPr>
            <w:tcW w:w="1879" w:type="dxa"/>
            <w:vAlign w:val="center"/>
          </w:tcPr>
          <w:p w14:paraId="46B339EA">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产品名称</w:t>
            </w:r>
          </w:p>
        </w:tc>
        <w:tc>
          <w:tcPr>
            <w:tcW w:w="1880" w:type="dxa"/>
            <w:tcBorders>
              <w:right w:val="single" w:color="auto" w:sz="4" w:space="0"/>
            </w:tcBorders>
            <w:vAlign w:val="center"/>
          </w:tcPr>
          <w:p w14:paraId="7420A3DA">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认证种类</w:t>
            </w:r>
          </w:p>
        </w:tc>
        <w:tc>
          <w:tcPr>
            <w:tcW w:w="1080" w:type="dxa"/>
            <w:tcBorders>
              <w:right w:val="single" w:color="auto" w:sz="4" w:space="0"/>
            </w:tcBorders>
            <w:vAlign w:val="center"/>
          </w:tcPr>
          <w:p w14:paraId="38067C83">
            <w:pPr>
              <w:pStyle w:val="54"/>
              <w:spacing w:line="360" w:lineRule="auto"/>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数量</w:t>
            </w:r>
          </w:p>
        </w:tc>
        <w:tc>
          <w:tcPr>
            <w:tcW w:w="1081" w:type="dxa"/>
            <w:tcBorders>
              <w:left w:val="single" w:color="auto" w:sz="4" w:space="0"/>
            </w:tcBorders>
            <w:vAlign w:val="center"/>
          </w:tcPr>
          <w:p w14:paraId="533E0A99">
            <w:pPr>
              <w:pStyle w:val="54"/>
              <w:spacing w:line="360" w:lineRule="auto"/>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单价</w:t>
            </w:r>
          </w:p>
        </w:tc>
        <w:tc>
          <w:tcPr>
            <w:tcW w:w="1081" w:type="dxa"/>
            <w:tcBorders>
              <w:left w:val="single" w:color="auto" w:sz="4" w:space="0"/>
            </w:tcBorders>
            <w:vAlign w:val="center"/>
          </w:tcPr>
          <w:p w14:paraId="0B40C9EE">
            <w:pPr>
              <w:pStyle w:val="54"/>
              <w:spacing w:line="360" w:lineRule="auto"/>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小计</w:t>
            </w:r>
          </w:p>
        </w:tc>
      </w:tr>
      <w:tr w14:paraId="03245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Merge w:val="restart"/>
            <w:vAlign w:val="center"/>
          </w:tcPr>
          <w:p w14:paraId="5901486B">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879" w:type="dxa"/>
            <w:vAlign w:val="center"/>
          </w:tcPr>
          <w:p w14:paraId="3F0E00F7">
            <w:pPr>
              <w:spacing w:line="360" w:lineRule="auto"/>
              <w:jc w:val="center"/>
              <w:rPr>
                <w:rFonts w:asciiTheme="minorEastAsia" w:hAnsiTheme="minorEastAsia"/>
                <w:color w:val="auto"/>
                <w:sz w:val="24"/>
                <w:highlight w:val="none"/>
              </w:rPr>
            </w:pPr>
          </w:p>
        </w:tc>
        <w:tc>
          <w:tcPr>
            <w:tcW w:w="1880" w:type="dxa"/>
            <w:tcBorders>
              <w:right w:val="single" w:color="auto" w:sz="4" w:space="0"/>
            </w:tcBorders>
            <w:vAlign w:val="center"/>
          </w:tcPr>
          <w:p w14:paraId="661B51DD">
            <w:pPr>
              <w:pStyle w:val="54"/>
              <w:spacing w:line="360" w:lineRule="auto"/>
              <w:jc w:val="center"/>
              <w:rPr>
                <w:rFonts w:hint="default" w:asciiTheme="minorEastAsia" w:hAnsiTheme="minorEastAsia"/>
                <w:color w:val="auto"/>
                <w:sz w:val="24"/>
                <w:szCs w:val="24"/>
                <w:highlight w:val="none"/>
              </w:rPr>
            </w:pPr>
          </w:p>
        </w:tc>
        <w:tc>
          <w:tcPr>
            <w:tcW w:w="1080" w:type="dxa"/>
            <w:tcBorders>
              <w:right w:val="single" w:color="auto" w:sz="4" w:space="0"/>
            </w:tcBorders>
            <w:vAlign w:val="center"/>
          </w:tcPr>
          <w:p w14:paraId="37BBE7C8">
            <w:pPr>
              <w:pStyle w:val="54"/>
              <w:spacing w:line="360" w:lineRule="auto"/>
              <w:jc w:val="center"/>
              <w:rPr>
                <w:rFonts w:hint="default" w:asciiTheme="minorEastAsia" w:hAnsiTheme="minorEastAsia"/>
                <w:color w:val="auto"/>
                <w:sz w:val="24"/>
                <w:szCs w:val="24"/>
                <w:highlight w:val="none"/>
              </w:rPr>
            </w:pPr>
          </w:p>
        </w:tc>
        <w:tc>
          <w:tcPr>
            <w:tcW w:w="1081" w:type="dxa"/>
            <w:tcBorders>
              <w:left w:val="single" w:color="auto" w:sz="4" w:space="0"/>
            </w:tcBorders>
            <w:vAlign w:val="center"/>
          </w:tcPr>
          <w:p w14:paraId="68748C4E">
            <w:pPr>
              <w:pStyle w:val="54"/>
              <w:spacing w:line="360" w:lineRule="auto"/>
              <w:jc w:val="center"/>
              <w:rPr>
                <w:rFonts w:hint="default" w:asciiTheme="minorEastAsia" w:hAnsiTheme="minorEastAsia"/>
                <w:color w:val="auto"/>
                <w:sz w:val="24"/>
                <w:szCs w:val="24"/>
                <w:highlight w:val="none"/>
              </w:rPr>
            </w:pPr>
          </w:p>
        </w:tc>
        <w:tc>
          <w:tcPr>
            <w:tcW w:w="1081" w:type="dxa"/>
            <w:tcBorders>
              <w:left w:val="single" w:color="auto" w:sz="4" w:space="0"/>
            </w:tcBorders>
            <w:vAlign w:val="center"/>
          </w:tcPr>
          <w:p w14:paraId="60925373">
            <w:pPr>
              <w:pStyle w:val="54"/>
              <w:spacing w:line="360" w:lineRule="auto"/>
              <w:jc w:val="center"/>
              <w:rPr>
                <w:rFonts w:hint="default" w:asciiTheme="minorEastAsia" w:hAnsiTheme="minorEastAsia"/>
                <w:color w:val="auto"/>
                <w:sz w:val="24"/>
                <w:szCs w:val="24"/>
                <w:highlight w:val="none"/>
              </w:rPr>
            </w:pPr>
          </w:p>
        </w:tc>
      </w:tr>
      <w:tr w14:paraId="41B39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Merge w:val="continue"/>
            <w:vAlign w:val="center"/>
          </w:tcPr>
          <w:p w14:paraId="20198F52">
            <w:pPr>
              <w:pStyle w:val="54"/>
              <w:spacing w:line="360" w:lineRule="auto"/>
              <w:jc w:val="center"/>
              <w:rPr>
                <w:rFonts w:hint="default" w:asciiTheme="minorEastAsia" w:hAnsiTheme="minorEastAsia"/>
                <w:color w:val="auto"/>
                <w:sz w:val="24"/>
                <w:szCs w:val="24"/>
                <w:highlight w:val="none"/>
              </w:rPr>
            </w:pPr>
          </w:p>
        </w:tc>
        <w:tc>
          <w:tcPr>
            <w:tcW w:w="1879" w:type="dxa"/>
            <w:vAlign w:val="center"/>
          </w:tcPr>
          <w:p w14:paraId="0618728F">
            <w:pPr>
              <w:spacing w:line="360" w:lineRule="auto"/>
              <w:jc w:val="center"/>
              <w:rPr>
                <w:rFonts w:asciiTheme="minorEastAsia" w:hAnsiTheme="minorEastAsia"/>
                <w:color w:val="auto"/>
                <w:sz w:val="24"/>
                <w:highlight w:val="none"/>
              </w:rPr>
            </w:pPr>
          </w:p>
        </w:tc>
        <w:tc>
          <w:tcPr>
            <w:tcW w:w="1880" w:type="dxa"/>
            <w:tcBorders>
              <w:right w:val="single" w:color="auto" w:sz="4" w:space="0"/>
            </w:tcBorders>
            <w:vAlign w:val="center"/>
          </w:tcPr>
          <w:p w14:paraId="79D1BCFD">
            <w:pPr>
              <w:pStyle w:val="54"/>
              <w:spacing w:line="360" w:lineRule="auto"/>
              <w:jc w:val="center"/>
              <w:rPr>
                <w:rFonts w:hint="default" w:asciiTheme="minorEastAsia" w:hAnsiTheme="minorEastAsia"/>
                <w:color w:val="auto"/>
                <w:sz w:val="24"/>
                <w:szCs w:val="24"/>
                <w:highlight w:val="none"/>
              </w:rPr>
            </w:pPr>
          </w:p>
        </w:tc>
        <w:tc>
          <w:tcPr>
            <w:tcW w:w="1080" w:type="dxa"/>
            <w:tcBorders>
              <w:right w:val="single" w:color="auto" w:sz="4" w:space="0"/>
            </w:tcBorders>
            <w:vAlign w:val="center"/>
          </w:tcPr>
          <w:p w14:paraId="46CA6D4C">
            <w:pPr>
              <w:pStyle w:val="54"/>
              <w:spacing w:line="360" w:lineRule="auto"/>
              <w:jc w:val="center"/>
              <w:rPr>
                <w:rFonts w:hint="default" w:asciiTheme="minorEastAsia" w:hAnsiTheme="minorEastAsia"/>
                <w:color w:val="auto"/>
                <w:sz w:val="24"/>
                <w:szCs w:val="24"/>
                <w:highlight w:val="none"/>
              </w:rPr>
            </w:pPr>
          </w:p>
        </w:tc>
        <w:tc>
          <w:tcPr>
            <w:tcW w:w="1081" w:type="dxa"/>
            <w:tcBorders>
              <w:left w:val="single" w:color="auto" w:sz="4" w:space="0"/>
            </w:tcBorders>
            <w:vAlign w:val="center"/>
          </w:tcPr>
          <w:p w14:paraId="6AA8432D">
            <w:pPr>
              <w:pStyle w:val="54"/>
              <w:spacing w:line="360" w:lineRule="auto"/>
              <w:jc w:val="center"/>
              <w:rPr>
                <w:rFonts w:hint="default" w:asciiTheme="minorEastAsia" w:hAnsiTheme="minorEastAsia"/>
                <w:color w:val="auto"/>
                <w:sz w:val="24"/>
                <w:szCs w:val="24"/>
                <w:highlight w:val="none"/>
              </w:rPr>
            </w:pPr>
          </w:p>
        </w:tc>
        <w:tc>
          <w:tcPr>
            <w:tcW w:w="1081" w:type="dxa"/>
            <w:tcBorders>
              <w:left w:val="single" w:color="auto" w:sz="4" w:space="0"/>
            </w:tcBorders>
            <w:vAlign w:val="center"/>
          </w:tcPr>
          <w:p w14:paraId="6A259F0C">
            <w:pPr>
              <w:pStyle w:val="54"/>
              <w:spacing w:line="360" w:lineRule="auto"/>
              <w:jc w:val="center"/>
              <w:rPr>
                <w:rFonts w:hint="default" w:asciiTheme="minorEastAsia" w:hAnsiTheme="minorEastAsia"/>
                <w:color w:val="auto"/>
                <w:sz w:val="24"/>
                <w:szCs w:val="24"/>
                <w:highlight w:val="none"/>
              </w:rPr>
            </w:pPr>
          </w:p>
        </w:tc>
      </w:tr>
      <w:tr w14:paraId="699AA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Merge w:val="continue"/>
            <w:vAlign w:val="center"/>
          </w:tcPr>
          <w:p w14:paraId="7B9A30F8">
            <w:pPr>
              <w:pStyle w:val="54"/>
              <w:spacing w:line="360" w:lineRule="auto"/>
              <w:jc w:val="center"/>
              <w:rPr>
                <w:rFonts w:hint="default" w:asciiTheme="minorEastAsia" w:hAnsiTheme="minorEastAsia"/>
                <w:color w:val="auto"/>
                <w:sz w:val="24"/>
                <w:szCs w:val="24"/>
                <w:highlight w:val="none"/>
              </w:rPr>
            </w:pPr>
          </w:p>
        </w:tc>
        <w:tc>
          <w:tcPr>
            <w:tcW w:w="1879" w:type="dxa"/>
            <w:vAlign w:val="center"/>
          </w:tcPr>
          <w:p w14:paraId="3CBF47F9">
            <w:pPr>
              <w:spacing w:line="360" w:lineRule="auto"/>
              <w:jc w:val="center"/>
              <w:rPr>
                <w:rFonts w:asciiTheme="minorEastAsia" w:hAnsiTheme="minorEastAsia"/>
                <w:color w:val="auto"/>
                <w:sz w:val="24"/>
                <w:highlight w:val="none"/>
              </w:rPr>
            </w:pPr>
          </w:p>
        </w:tc>
        <w:tc>
          <w:tcPr>
            <w:tcW w:w="1880" w:type="dxa"/>
            <w:tcBorders>
              <w:right w:val="single" w:color="auto" w:sz="4" w:space="0"/>
            </w:tcBorders>
            <w:vAlign w:val="center"/>
          </w:tcPr>
          <w:p w14:paraId="4175FE40">
            <w:pPr>
              <w:pStyle w:val="54"/>
              <w:spacing w:line="360" w:lineRule="auto"/>
              <w:jc w:val="center"/>
              <w:rPr>
                <w:rFonts w:hint="default" w:asciiTheme="minorEastAsia" w:hAnsiTheme="minorEastAsia"/>
                <w:color w:val="auto"/>
                <w:sz w:val="24"/>
                <w:szCs w:val="24"/>
                <w:highlight w:val="none"/>
              </w:rPr>
            </w:pPr>
          </w:p>
        </w:tc>
        <w:tc>
          <w:tcPr>
            <w:tcW w:w="1080" w:type="dxa"/>
            <w:tcBorders>
              <w:right w:val="single" w:color="auto" w:sz="4" w:space="0"/>
            </w:tcBorders>
            <w:vAlign w:val="center"/>
          </w:tcPr>
          <w:p w14:paraId="47861538">
            <w:pPr>
              <w:pStyle w:val="54"/>
              <w:spacing w:line="360" w:lineRule="auto"/>
              <w:jc w:val="center"/>
              <w:rPr>
                <w:rFonts w:hint="default" w:asciiTheme="minorEastAsia" w:hAnsiTheme="minorEastAsia"/>
                <w:color w:val="auto"/>
                <w:sz w:val="24"/>
                <w:szCs w:val="24"/>
                <w:highlight w:val="none"/>
              </w:rPr>
            </w:pPr>
          </w:p>
        </w:tc>
        <w:tc>
          <w:tcPr>
            <w:tcW w:w="1081" w:type="dxa"/>
            <w:tcBorders>
              <w:left w:val="single" w:color="auto" w:sz="4" w:space="0"/>
            </w:tcBorders>
            <w:vAlign w:val="center"/>
          </w:tcPr>
          <w:p w14:paraId="2BFC8F3F">
            <w:pPr>
              <w:pStyle w:val="54"/>
              <w:spacing w:line="360" w:lineRule="auto"/>
              <w:jc w:val="center"/>
              <w:rPr>
                <w:rFonts w:hint="default" w:asciiTheme="minorEastAsia" w:hAnsiTheme="minorEastAsia"/>
                <w:color w:val="auto"/>
                <w:sz w:val="24"/>
                <w:szCs w:val="24"/>
                <w:highlight w:val="none"/>
              </w:rPr>
            </w:pPr>
          </w:p>
        </w:tc>
        <w:tc>
          <w:tcPr>
            <w:tcW w:w="1081" w:type="dxa"/>
            <w:tcBorders>
              <w:left w:val="single" w:color="auto" w:sz="4" w:space="0"/>
            </w:tcBorders>
            <w:vAlign w:val="center"/>
          </w:tcPr>
          <w:p w14:paraId="00BCEB7C">
            <w:pPr>
              <w:pStyle w:val="54"/>
              <w:spacing w:line="360" w:lineRule="auto"/>
              <w:jc w:val="center"/>
              <w:rPr>
                <w:rFonts w:hint="default" w:asciiTheme="minorEastAsia" w:hAnsiTheme="minorEastAsia"/>
                <w:color w:val="auto"/>
                <w:sz w:val="24"/>
                <w:szCs w:val="24"/>
                <w:highlight w:val="none"/>
              </w:rPr>
            </w:pPr>
          </w:p>
        </w:tc>
      </w:tr>
      <w:tr w14:paraId="2110E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Merge w:val="continue"/>
            <w:vAlign w:val="center"/>
          </w:tcPr>
          <w:p w14:paraId="21BB1357">
            <w:pPr>
              <w:spacing w:line="360" w:lineRule="auto"/>
              <w:jc w:val="center"/>
              <w:rPr>
                <w:rFonts w:asciiTheme="minorEastAsia" w:hAnsiTheme="minorEastAsia"/>
                <w:color w:val="auto"/>
                <w:sz w:val="24"/>
                <w:highlight w:val="none"/>
              </w:rPr>
            </w:pPr>
          </w:p>
        </w:tc>
        <w:tc>
          <w:tcPr>
            <w:tcW w:w="5920" w:type="dxa"/>
            <w:gridSpan w:val="4"/>
            <w:vAlign w:val="center"/>
          </w:tcPr>
          <w:p w14:paraId="31AF3830">
            <w:pPr>
              <w:spacing w:line="360" w:lineRule="auto"/>
              <w:jc w:val="right"/>
              <w:rPr>
                <w:rFonts w:asciiTheme="minorEastAsia" w:hAnsiTheme="minorEastAsia"/>
                <w:color w:val="auto"/>
                <w:sz w:val="24"/>
                <w:highlight w:val="none"/>
              </w:rPr>
            </w:pPr>
            <w:r>
              <w:rPr>
                <w:rFonts w:asciiTheme="minorEastAsia" w:hAnsiTheme="minorEastAsia"/>
                <w:color w:val="auto"/>
                <w:sz w:val="24"/>
                <w:highlight w:val="none"/>
              </w:rPr>
              <w:t>合计</w:t>
            </w:r>
          </w:p>
        </w:tc>
        <w:tc>
          <w:tcPr>
            <w:tcW w:w="1081" w:type="dxa"/>
            <w:tcBorders>
              <w:left w:val="single" w:color="auto" w:sz="4" w:space="0"/>
            </w:tcBorders>
            <w:vAlign w:val="center"/>
          </w:tcPr>
          <w:p w14:paraId="6DEC59E0">
            <w:pPr>
              <w:spacing w:line="360" w:lineRule="auto"/>
              <w:jc w:val="center"/>
              <w:rPr>
                <w:rFonts w:asciiTheme="minorEastAsia" w:hAnsiTheme="minorEastAsia"/>
                <w:color w:val="auto"/>
                <w:sz w:val="24"/>
                <w:highlight w:val="none"/>
              </w:rPr>
            </w:pPr>
          </w:p>
        </w:tc>
      </w:tr>
    </w:tbl>
    <w:p w14:paraId="16B99ECA">
      <w:pPr>
        <w:rPr>
          <w:color w:val="auto"/>
          <w:highlight w:val="none"/>
        </w:rPr>
      </w:pPr>
    </w:p>
    <w:p w14:paraId="4AA02BCF">
      <w:pPr>
        <w:spacing w:line="360" w:lineRule="auto"/>
        <w:ind w:firstLine="480" w:firstLineChars="200"/>
        <w:rPr>
          <w:rFonts w:ascii="宋体" w:hAnsi="宋体" w:eastAsia="宋体" w:cs="Times New Roman"/>
          <w:color w:val="auto"/>
          <w:sz w:val="24"/>
          <w:szCs w:val="24"/>
          <w:highlight w:val="none"/>
        </w:rPr>
      </w:pPr>
    </w:p>
    <w:p w14:paraId="5D4AE769">
      <w:pPr>
        <w:spacing w:line="276" w:lineRule="auto"/>
        <w:ind w:firstLine="480" w:firstLineChars="200"/>
        <w:rPr>
          <w:rFonts w:ascii="宋体" w:hAnsi="宋体" w:eastAsia="宋体" w:cs="Times New Roman"/>
          <w:color w:val="auto"/>
          <w:sz w:val="24"/>
          <w:szCs w:val="24"/>
          <w:highlight w:val="none"/>
        </w:rPr>
        <w:sectPr>
          <w:pgSz w:w="11906" w:h="16838"/>
          <w:pgMar w:top="1418" w:right="1418" w:bottom="1418" w:left="1418" w:header="851" w:footer="992" w:gutter="0"/>
          <w:cols w:space="720" w:num="1"/>
          <w:docGrid w:linePitch="312" w:charSpace="0"/>
        </w:sectPr>
      </w:pPr>
    </w:p>
    <w:p w14:paraId="6CFA88FE">
      <w:pPr>
        <w:spacing w:line="360" w:lineRule="auto"/>
        <w:rPr>
          <w:rFonts w:ascii="黑体" w:hAnsi="黑体" w:eastAsia="黑体" w:cs="宋体"/>
          <w:b/>
          <w:color w:val="auto"/>
          <w:kern w:val="0"/>
          <w:sz w:val="32"/>
          <w:szCs w:val="24"/>
          <w:highlight w:val="none"/>
        </w:rPr>
      </w:pPr>
      <w:r>
        <w:rPr>
          <w:rFonts w:hint="eastAsia" w:ascii="黑体" w:hAnsi="黑体" w:eastAsia="黑体" w:cs="宋体"/>
          <w:b/>
          <w:color w:val="auto"/>
          <w:kern w:val="0"/>
          <w:sz w:val="32"/>
          <w:szCs w:val="24"/>
          <w:highlight w:val="none"/>
        </w:rPr>
        <w:t>（二）《技术商务部分》的格式补充如下：</w:t>
      </w:r>
    </w:p>
    <w:p w14:paraId="6D676DD0">
      <w:pPr>
        <w:spacing w:line="360" w:lineRule="auto"/>
        <w:jc w:val="center"/>
        <w:rPr>
          <w:rFonts w:ascii="黑体" w:hAnsi="黑体" w:eastAsia="黑体" w:cs="宋体"/>
          <w:b/>
          <w:bCs/>
          <w:color w:val="auto"/>
          <w:kern w:val="0"/>
          <w:sz w:val="28"/>
          <w:szCs w:val="18"/>
          <w:highlight w:val="none"/>
        </w:rPr>
      </w:pPr>
    </w:p>
    <w:p w14:paraId="7E4E59B6">
      <w:pPr>
        <w:spacing w:line="360" w:lineRule="auto"/>
        <w:jc w:val="center"/>
        <w:rPr>
          <w:rFonts w:ascii="黑体" w:hAnsi="黑体" w:eastAsia="黑体" w:cs="宋体"/>
          <w:b/>
          <w:bCs/>
          <w:color w:val="auto"/>
          <w:kern w:val="0"/>
          <w:sz w:val="28"/>
          <w:szCs w:val="18"/>
          <w:highlight w:val="none"/>
        </w:rPr>
      </w:pPr>
      <w:r>
        <w:rPr>
          <w:rFonts w:ascii="黑体" w:hAnsi="黑体" w:eastAsia="黑体" w:cs="宋体"/>
          <w:b/>
          <w:bCs/>
          <w:color w:val="auto"/>
          <w:kern w:val="0"/>
          <w:sz w:val="28"/>
          <w:szCs w:val="18"/>
          <w:highlight w:val="none"/>
        </w:rPr>
        <w:t>四、投标人提交的其他资料</w:t>
      </w:r>
    </w:p>
    <w:p w14:paraId="6960B7AD">
      <w:pPr>
        <w:spacing w:line="360" w:lineRule="auto"/>
        <w:jc w:val="center"/>
        <w:rPr>
          <w:rFonts w:ascii="黑体" w:hAnsi="黑体" w:eastAsia="黑体" w:cs="宋体"/>
          <w:b/>
          <w:bCs/>
          <w:color w:val="auto"/>
          <w:kern w:val="0"/>
          <w:sz w:val="28"/>
          <w:szCs w:val="18"/>
          <w:highlight w:val="none"/>
        </w:rPr>
      </w:pPr>
      <w:r>
        <w:rPr>
          <w:rFonts w:hint="eastAsia" w:ascii="黑体" w:hAnsi="黑体" w:eastAsia="黑体" w:cs="宋体"/>
          <w:b/>
          <w:bCs/>
          <w:color w:val="auto"/>
          <w:kern w:val="0"/>
          <w:sz w:val="28"/>
          <w:szCs w:val="18"/>
          <w:highlight w:val="none"/>
        </w:rPr>
        <w:t>（一）带“★”号条款逐条响应情况表</w:t>
      </w:r>
    </w:p>
    <w:p w14:paraId="2B3F1D09">
      <w:pPr>
        <w:spacing w:line="360" w:lineRule="auto"/>
        <w:rPr>
          <w:rFonts w:ascii="宋体" w:hAnsi="宋体" w:eastAsia="宋体" w:cs="Times New Roman"/>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     招标编号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8"/>
        <w:gridCol w:w="3333"/>
        <w:gridCol w:w="1836"/>
        <w:gridCol w:w="2627"/>
      </w:tblGrid>
      <w:tr w14:paraId="498F2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968" w:type="dxa"/>
            <w:vAlign w:val="center"/>
          </w:tcPr>
          <w:p w14:paraId="2E6211F8">
            <w:pPr>
              <w:spacing w:line="360" w:lineRule="auto"/>
              <w:jc w:val="center"/>
              <w:rPr>
                <w:rFonts w:ascii="宋体" w:hAnsi="宋体" w:eastAsia="宋体" w:cs="Times New Roman"/>
                <w:color w:val="auto"/>
                <w:kern w:val="0"/>
                <w:sz w:val="20"/>
                <w:szCs w:val="24"/>
                <w:highlight w:val="none"/>
              </w:rPr>
            </w:pPr>
            <w:r>
              <w:rPr>
                <w:rFonts w:hint="eastAsia" w:ascii="宋体" w:hAnsi="宋体" w:eastAsia="宋体" w:cs="Times New Roman"/>
                <w:color w:val="auto"/>
                <w:kern w:val="0"/>
                <w:sz w:val="20"/>
                <w:szCs w:val="24"/>
                <w:highlight w:val="none"/>
              </w:rPr>
              <w:t>条款号</w:t>
            </w:r>
          </w:p>
        </w:tc>
        <w:tc>
          <w:tcPr>
            <w:tcW w:w="3333" w:type="dxa"/>
            <w:vAlign w:val="center"/>
          </w:tcPr>
          <w:p w14:paraId="374F7056">
            <w:pPr>
              <w:spacing w:line="360" w:lineRule="auto"/>
              <w:jc w:val="center"/>
              <w:rPr>
                <w:rFonts w:ascii="宋体" w:hAnsi="宋体" w:eastAsia="宋体" w:cs="Times New Roman"/>
                <w:color w:val="auto"/>
                <w:kern w:val="0"/>
                <w:sz w:val="20"/>
                <w:szCs w:val="24"/>
                <w:highlight w:val="none"/>
              </w:rPr>
            </w:pPr>
            <w:r>
              <w:rPr>
                <w:rFonts w:hint="eastAsia" w:ascii="宋体" w:hAnsi="宋体" w:eastAsia="宋体" w:cs="Times New Roman"/>
                <w:color w:val="auto"/>
                <w:kern w:val="0"/>
                <w:sz w:val="20"/>
                <w:szCs w:val="24"/>
                <w:highlight w:val="none"/>
              </w:rPr>
              <w:t>招标文件中带“★”号的条款</w:t>
            </w:r>
          </w:p>
        </w:tc>
        <w:tc>
          <w:tcPr>
            <w:tcW w:w="1836" w:type="dxa"/>
            <w:vAlign w:val="center"/>
          </w:tcPr>
          <w:p w14:paraId="0B13C69A">
            <w:pPr>
              <w:spacing w:line="360" w:lineRule="auto"/>
              <w:jc w:val="center"/>
              <w:rPr>
                <w:rFonts w:ascii="宋体" w:hAnsi="宋体" w:eastAsia="宋体" w:cs="Times New Roman"/>
                <w:color w:val="auto"/>
                <w:kern w:val="0"/>
                <w:sz w:val="20"/>
                <w:szCs w:val="24"/>
                <w:highlight w:val="none"/>
              </w:rPr>
            </w:pPr>
            <w:r>
              <w:rPr>
                <w:rFonts w:ascii="宋体" w:hAnsi="宋体" w:eastAsia="宋体" w:cs="Times New Roman"/>
                <w:color w:val="auto"/>
                <w:kern w:val="0"/>
                <w:sz w:val="20"/>
                <w:szCs w:val="24"/>
                <w:highlight w:val="none"/>
              </w:rPr>
              <w:t>投标响应</w:t>
            </w:r>
            <w:r>
              <w:rPr>
                <w:rFonts w:hint="eastAsia" w:ascii="宋体" w:hAnsi="宋体" w:eastAsia="宋体" w:cs="Times New Roman"/>
                <w:color w:val="auto"/>
                <w:kern w:val="0"/>
                <w:sz w:val="20"/>
                <w:szCs w:val="24"/>
                <w:highlight w:val="none"/>
              </w:rPr>
              <w:t>内容</w:t>
            </w:r>
          </w:p>
        </w:tc>
        <w:tc>
          <w:tcPr>
            <w:tcW w:w="2627" w:type="dxa"/>
            <w:vAlign w:val="center"/>
          </w:tcPr>
          <w:p w14:paraId="00D1624D">
            <w:pPr>
              <w:spacing w:line="360" w:lineRule="auto"/>
              <w:jc w:val="center"/>
              <w:rPr>
                <w:rFonts w:ascii="宋体" w:hAnsi="宋体" w:eastAsia="宋体" w:cs="Times New Roman"/>
                <w:color w:val="auto"/>
                <w:kern w:val="0"/>
                <w:sz w:val="20"/>
                <w:szCs w:val="24"/>
                <w:highlight w:val="none"/>
              </w:rPr>
            </w:pPr>
            <w:r>
              <w:rPr>
                <w:rFonts w:hint="eastAsia" w:ascii="宋体" w:hAnsi="宋体" w:eastAsia="宋体" w:cs="Times New Roman"/>
                <w:color w:val="auto"/>
                <w:kern w:val="0"/>
                <w:sz w:val="20"/>
                <w:szCs w:val="24"/>
                <w:highlight w:val="none"/>
              </w:rPr>
              <w:t>对应投标文件页码</w:t>
            </w:r>
          </w:p>
        </w:tc>
      </w:tr>
      <w:tr w14:paraId="227A5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1F0035AA">
            <w:pPr>
              <w:spacing w:line="360" w:lineRule="auto"/>
              <w:jc w:val="center"/>
              <w:rPr>
                <w:rFonts w:ascii="宋体" w:hAnsi="宋体" w:eastAsia="宋体" w:cs="Times New Roman"/>
                <w:color w:val="auto"/>
                <w:kern w:val="0"/>
                <w:sz w:val="20"/>
                <w:szCs w:val="24"/>
                <w:highlight w:val="none"/>
              </w:rPr>
            </w:pPr>
          </w:p>
        </w:tc>
        <w:tc>
          <w:tcPr>
            <w:tcW w:w="3333" w:type="dxa"/>
            <w:vAlign w:val="center"/>
          </w:tcPr>
          <w:p w14:paraId="4C28367E">
            <w:pPr>
              <w:spacing w:line="360" w:lineRule="auto"/>
              <w:jc w:val="center"/>
              <w:rPr>
                <w:rFonts w:ascii="宋体" w:hAnsi="宋体" w:eastAsia="宋体" w:cs="宋体"/>
                <w:bCs/>
                <w:color w:val="auto"/>
                <w:kern w:val="0"/>
                <w:sz w:val="20"/>
                <w:szCs w:val="24"/>
                <w:highlight w:val="none"/>
              </w:rPr>
            </w:pPr>
          </w:p>
        </w:tc>
        <w:tc>
          <w:tcPr>
            <w:tcW w:w="1836" w:type="dxa"/>
            <w:vAlign w:val="center"/>
          </w:tcPr>
          <w:p w14:paraId="20B72C93">
            <w:pPr>
              <w:spacing w:line="360" w:lineRule="auto"/>
              <w:jc w:val="center"/>
              <w:rPr>
                <w:rFonts w:ascii="宋体" w:hAnsi="宋体" w:eastAsia="宋体" w:cs="Times New Roman"/>
                <w:color w:val="auto"/>
                <w:kern w:val="0"/>
                <w:sz w:val="20"/>
                <w:szCs w:val="24"/>
                <w:highlight w:val="none"/>
              </w:rPr>
            </w:pPr>
          </w:p>
        </w:tc>
        <w:tc>
          <w:tcPr>
            <w:tcW w:w="2627" w:type="dxa"/>
            <w:vAlign w:val="center"/>
          </w:tcPr>
          <w:p w14:paraId="3C9F9A6C">
            <w:pPr>
              <w:spacing w:line="360" w:lineRule="auto"/>
              <w:jc w:val="center"/>
              <w:rPr>
                <w:rFonts w:ascii="宋体" w:hAnsi="宋体" w:eastAsia="宋体" w:cs="Times New Roman"/>
                <w:color w:val="auto"/>
                <w:kern w:val="0"/>
                <w:sz w:val="20"/>
                <w:szCs w:val="24"/>
                <w:highlight w:val="none"/>
              </w:rPr>
            </w:pPr>
          </w:p>
        </w:tc>
      </w:tr>
      <w:tr w14:paraId="78CC4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6C4EF5F0">
            <w:pPr>
              <w:spacing w:line="360" w:lineRule="auto"/>
              <w:jc w:val="center"/>
              <w:rPr>
                <w:rFonts w:ascii="宋体" w:hAnsi="宋体" w:eastAsia="宋体" w:cs="Times New Roman"/>
                <w:color w:val="auto"/>
                <w:kern w:val="0"/>
                <w:sz w:val="20"/>
                <w:szCs w:val="24"/>
                <w:highlight w:val="none"/>
              </w:rPr>
            </w:pPr>
          </w:p>
        </w:tc>
        <w:tc>
          <w:tcPr>
            <w:tcW w:w="3333" w:type="dxa"/>
            <w:vAlign w:val="center"/>
          </w:tcPr>
          <w:p w14:paraId="37DD8AAC">
            <w:pPr>
              <w:spacing w:line="360" w:lineRule="auto"/>
              <w:jc w:val="center"/>
              <w:rPr>
                <w:rFonts w:ascii="宋体" w:hAnsi="宋体" w:eastAsia="宋体" w:cs="宋体"/>
                <w:bCs/>
                <w:color w:val="auto"/>
                <w:kern w:val="0"/>
                <w:sz w:val="20"/>
                <w:szCs w:val="24"/>
                <w:highlight w:val="none"/>
              </w:rPr>
            </w:pPr>
          </w:p>
        </w:tc>
        <w:tc>
          <w:tcPr>
            <w:tcW w:w="1836" w:type="dxa"/>
            <w:vAlign w:val="center"/>
          </w:tcPr>
          <w:p w14:paraId="7AC06327">
            <w:pPr>
              <w:spacing w:line="360" w:lineRule="auto"/>
              <w:jc w:val="center"/>
              <w:rPr>
                <w:rFonts w:ascii="宋体" w:hAnsi="宋体" w:eastAsia="宋体" w:cs="Times New Roman"/>
                <w:color w:val="auto"/>
                <w:kern w:val="0"/>
                <w:sz w:val="20"/>
                <w:szCs w:val="24"/>
                <w:highlight w:val="none"/>
              </w:rPr>
            </w:pPr>
          </w:p>
        </w:tc>
        <w:tc>
          <w:tcPr>
            <w:tcW w:w="2627" w:type="dxa"/>
            <w:vAlign w:val="center"/>
          </w:tcPr>
          <w:p w14:paraId="45D124EB">
            <w:pPr>
              <w:spacing w:line="360" w:lineRule="auto"/>
              <w:jc w:val="center"/>
              <w:rPr>
                <w:rFonts w:ascii="宋体" w:hAnsi="宋体" w:eastAsia="宋体" w:cs="Times New Roman"/>
                <w:color w:val="auto"/>
                <w:kern w:val="0"/>
                <w:sz w:val="20"/>
                <w:szCs w:val="24"/>
                <w:highlight w:val="none"/>
              </w:rPr>
            </w:pPr>
          </w:p>
        </w:tc>
      </w:tr>
      <w:tr w14:paraId="45379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396DB648">
            <w:pPr>
              <w:spacing w:line="360" w:lineRule="auto"/>
              <w:jc w:val="center"/>
              <w:rPr>
                <w:rFonts w:ascii="宋体" w:hAnsi="宋体" w:eastAsia="宋体" w:cs="Times New Roman"/>
                <w:color w:val="auto"/>
                <w:kern w:val="0"/>
                <w:sz w:val="20"/>
                <w:szCs w:val="24"/>
                <w:highlight w:val="none"/>
              </w:rPr>
            </w:pPr>
          </w:p>
        </w:tc>
        <w:tc>
          <w:tcPr>
            <w:tcW w:w="3333" w:type="dxa"/>
            <w:vAlign w:val="center"/>
          </w:tcPr>
          <w:p w14:paraId="52AB46A3">
            <w:pPr>
              <w:spacing w:line="360" w:lineRule="auto"/>
              <w:jc w:val="center"/>
              <w:rPr>
                <w:rFonts w:ascii="宋体" w:hAnsi="宋体" w:eastAsia="宋体" w:cs="宋体"/>
                <w:bCs/>
                <w:color w:val="auto"/>
                <w:kern w:val="0"/>
                <w:sz w:val="20"/>
                <w:szCs w:val="24"/>
                <w:highlight w:val="none"/>
              </w:rPr>
            </w:pPr>
          </w:p>
        </w:tc>
        <w:tc>
          <w:tcPr>
            <w:tcW w:w="1836" w:type="dxa"/>
            <w:vAlign w:val="center"/>
          </w:tcPr>
          <w:p w14:paraId="5679FC5D">
            <w:pPr>
              <w:spacing w:line="360" w:lineRule="auto"/>
              <w:jc w:val="center"/>
              <w:rPr>
                <w:rFonts w:ascii="宋体" w:hAnsi="宋体" w:eastAsia="宋体" w:cs="Times New Roman"/>
                <w:color w:val="auto"/>
                <w:kern w:val="0"/>
                <w:sz w:val="20"/>
                <w:szCs w:val="24"/>
                <w:highlight w:val="none"/>
              </w:rPr>
            </w:pPr>
          </w:p>
        </w:tc>
        <w:tc>
          <w:tcPr>
            <w:tcW w:w="2627" w:type="dxa"/>
            <w:vAlign w:val="center"/>
          </w:tcPr>
          <w:p w14:paraId="29F3A67C">
            <w:pPr>
              <w:spacing w:line="360" w:lineRule="auto"/>
              <w:jc w:val="center"/>
              <w:rPr>
                <w:rFonts w:ascii="宋体" w:hAnsi="宋体" w:eastAsia="宋体" w:cs="Times New Roman"/>
                <w:color w:val="auto"/>
                <w:kern w:val="0"/>
                <w:sz w:val="20"/>
                <w:szCs w:val="24"/>
                <w:highlight w:val="none"/>
              </w:rPr>
            </w:pPr>
          </w:p>
        </w:tc>
      </w:tr>
      <w:tr w14:paraId="224FC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709685C4">
            <w:pPr>
              <w:spacing w:line="360" w:lineRule="auto"/>
              <w:jc w:val="center"/>
              <w:rPr>
                <w:rFonts w:ascii="宋体" w:hAnsi="宋体" w:eastAsia="宋体" w:cs="Times New Roman"/>
                <w:color w:val="auto"/>
                <w:kern w:val="0"/>
                <w:sz w:val="20"/>
                <w:szCs w:val="24"/>
                <w:highlight w:val="none"/>
              </w:rPr>
            </w:pPr>
          </w:p>
        </w:tc>
        <w:tc>
          <w:tcPr>
            <w:tcW w:w="3333" w:type="dxa"/>
            <w:vAlign w:val="center"/>
          </w:tcPr>
          <w:p w14:paraId="220083AF">
            <w:pPr>
              <w:spacing w:line="360" w:lineRule="auto"/>
              <w:jc w:val="center"/>
              <w:rPr>
                <w:rFonts w:ascii="宋体" w:hAnsi="宋体" w:eastAsia="宋体" w:cs="宋体"/>
                <w:bCs/>
                <w:color w:val="auto"/>
                <w:kern w:val="0"/>
                <w:sz w:val="20"/>
                <w:szCs w:val="24"/>
                <w:highlight w:val="none"/>
              </w:rPr>
            </w:pPr>
          </w:p>
        </w:tc>
        <w:tc>
          <w:tcPr>
            <w:tcW w:w="1836" w:type="dxa"/>
            <w:vAlign w:val="center"/>
          </w:tcPr>
          <w:p w14:paraId="7D74B404">
            <w:pPr>
              <w:spacing w:line="360" w:lineRule="auto"/>
              <w:jc w:val="center"/>
              <w:rPr>
                <w:rFonts w:ascii="宋体" w:hAnsi="宋体" w:eastAsia="宋体" w:cs="Times New Roman"/>
                <w:color w:val="auto"/>
                <w:kern w:val="0"/>
                <w:sz w:val="20"/>
                <w:szCs w:val="24"/>
                <w:highlight w:val="none"/>
              </w:rPr>
            </w:pPr>
          </w:p>
        </w:tc>
        <w:tc>
          <w:tcPr>
            <w:tcW w:w="2627" w:type="dxa"/>
            <w:vAlign w:val="center"/>
          </w:tcPr>
          <w:p w14:paraId="632834A0">
            <w:pPr>
              <w:spacing w:line="360" w:lineRule="auto"/>
              <w:jc w:val="center"/>
              <w:rPr>
                <w:rFonts w:ascii="宋体" w:hAnsi="宋体" w:eastAsia="宋体" w:cs="Times New Roman"/>
                <w:color w:val="auto"/>
                <w:kern w:val="0"/>
                <w:sz w:val="20"/>
                <w:szCs w:val="24"/>
                <w:highlight w:val="none"/>
              </w:rPr>
            </w:pPr>
          </w:p>
        </w:tc>
      </w:tr>
      <w:tr w14:paraId="6941A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68" w:type="dxa"/>
            <w:vAlign w:val="center"/>
          </w:tcPr>
          <w:p w14:paraId="6470E1A9">
            <w:pPr>
              <w:spacing w:line="360" w:lineRule="auto"/>
              <w:jc w:val="center"/>
              <w:rPr>
                <w:rFonts w:ascii="宋体" w:hAnsi="宋体" w:eastAsia="宋体" w:cs="Times New Roman"/>
                <w:color w:val="auto"/>
                <w:kern w:val="0"/>
                <w:sz w:val="20"/>
                <w:szCs w:val="24"/>
                <w:highlight w:val="none"/>
              </w:rPr>
            </w:pPr>
          </w:p>
        </w:tc>
        <w:tc>
          <w:tcPr>
            <w:tcW w:w="3333" w:type="dxa"/>
            <w:vAlign w:val="center"/>
          </w:tcPr>
          <w:p w14:paraId="1300C1CF">
            <w:pPr>
              <w:spacing w:line="360" w:lineRule="auto"/>
              <w:jc w:val="center"/>
              <w:rPr>
                <w:rFonts w:ascii="宋体" w:hAnsi="宋体" w:eastAsia="宋体" w:cs="宋体"/>
                <w:bCs/>
                <w:color w:val="auto"/>
                <w:kern w:val="0"/>
                <w:sz w:val="20"/>
                <w:szCs w:val="24"/>
                <w:highlight w:val="none"/>
              </w:rPr>
            </w:pPr>
          </w:p>
        </w:tc>
        <w:tc>
          <w:tcPr>
            <w:tcW w:w="1836" w:type="dxa"/>
            <w:vAlign w:val="center"/>
          </w:tcPr>
          <w:p w14:paraId="0920E17B">
            <w:pPr>
              <w:spacing w:line="360" w:lineRule="auto"/>
              <w:jc w:val="center"/>
              <w:rPr>
                <w:rFonts w:ascii="宋体" w:hAnsi="宋体" w:eastAsia="宋体" w:cs="Times New Roman"/>
                <w:color w:val="auto"/>
                <w:kern w:val="0"/>
                <w:sz w:val="20"/>
                <w:szCs w:val="24"/>
                <w:highlight w:val="none"/>
              </w:rPr>
            </w:pPr>
          </w:p>
        </w:tc>
        <w:tc>
          <w:tcPr>
            <w:tcW w:w="2627" w:type="dxa"/>
            <w:vAlign w:val="center"/>
          </w:tcPr>
          <w:p w14:paraId="440D15F8">
            <w:pPr>
              <w:spacing w:line="360" w:lineRule="auto"/>
              <w:jc w:val="center"/>
              <w:rPr>
                <w:rFonts w:ascii="宋体" w:hAnsi="宋体" w:eastAsia="宋体" w:cs="Times New Roman"/>
                <w:color w:val="auto"/>
                <w:kern w:val="0"/>
                <w:sz w:val="20"/>
                <w:szCs w:val="24"/>
                <w:highlight w:val="none"/>
              </w:rPr>
            </w:pPr>
          </w:p>
        </w:tc>
      </w:tr>
    </w:tbl>
    <w:p w14:paraId="5212D762">
      <w:pPr>
        <w:spacing w:line="380" w:lineRule="exact"/>
        <w:ind w:firstLine="482" w:firstLineChars="200"/>
        <w:jc w:val="left"/>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以上★号条款为招标文件中的所有★号条款，无论是技术指标或文字描述要求，投标人必须逐条如实地书面响应。</w:t>
      </w:r>
    </w:p>
    <w:p w14:paraId="67D74C7A">
      <w:pPr>
        <w:spacing w:line="380" w:lineRule="exact"/>
        <w:ind w:firstLine="482" w:firstLineChars="200"/>
        <w:jc w:val="left"/>
        <w:rPr>
          <w:rFonts w:ascii="宋体" w:hAnsi="宋体" w:eastAsia="宋体" w:cs="Times New Roman"/>
          <w:b/>
          <w:color w:val="auto"/>
          <w:sz w:val="24"/>
          <w:szCs w:val="24"/>
          <w:highlight w:val="none"/>
        </w:rPr>
      </w:pPr>
    </w:p>
    <w:p w14:paraId="14415E78">
      <w:pPr>
        <w:spacing w:line="360" w:lineRule="auto"/>
        <w:ind w:firstLine="4200" w:firstLineChars="175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投标人全称（加盖公章）：</w:t>
      </w:r>
      <w:r>
        <w:rPr>
          <w:rFonts w:hint="eastAsia" w:ascii="宋体" w:hAnsi="宋体" w:eastAsia="宋体" w:cs="Times New Roman"/>
          <w:color w:val="auto"/>
          <w:sz w:val="24"/>
          <w:szCs w:val="24"/>
          <w:highlight w:val="none"/>
          <w:u w:val="single"/>
        </w:rPr>
        <w:t xml:space="preserve">           </w:t>
      </w:r>
    </w:p>
    <w:p w14:paraId="0185B09C">
      <w:pPr>
        <w:spacing w:line="360" w:lineRule="auto"/>
        <w:ind w:firstLine="4200" w:firstLineChars="175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 xml:space="preserve">日   期： </w:t>
      </w:r>
      <w:r>
        <w:rPr>
          <w:rFonts w:hint="eastAsia" w:ascii="宋体" w:hAnsi="宋体" w:eastAsia="宋体" w:cs="Times New Roman"/>
          <w:color w:val="auto"/>
          <w:sz w:val="24"/>
          <w:szCs w:val="24"/>
          <w:highlight w:val="none"/>
          <w:u w:val="single"/>
        </w:rPr>
        <w:t xml:space="preserve">                        </w:t>
      </w:r>
    </w:p>
    <w:p w14:paraId="0C6855EA">
      <w:pPr>
        <w:spacing w:line="360" w:lineRule="auto"/>
        <w:jc w:val="center"/>
        <w:rPr>
          <w:rFonts w:hint="eastAsia" w:ascii="黑体" w:hAnsi="黑体" w:eastAsia="黑体" w:cs="宋体"/>
          <w:b/>
          <w:bCs/>
          <w:color w:val="auto"/>
          <w:kern w:val="0"/>
          <w:sz w:val="28"/>
          <w:szCs w:val="18"/>
          <w:highlight w:val="none"/>
        </w:rPr>
      </w:pPr>
      <w:bookmarkStart w:id="25" w:name="_Toc100307875"/>
      <w:r>
        <w:rPr>
          <w:rFonts w:hint="eastAsia" w:ascii="黑体" w:hAnsi="黑体" w:eastAsia="黑体" w:cs="宋体"/>
          <w:b/>
          <w:bCs/>
          <w:color w:val="auto"/>
          <w:kern w:val="0"/>
          <w:sz w:val="28"/>
          <w:szCs w:val="18"/>
          <w:highlight w:val="none"/>
        </w:rPr>
        <w:t>（二）关于符合本国产品标准的声明函（格式）</w:t>
      </w:r>
    </w:p>
    <w:p w14:paraId="19B4ABB5">
      <w:pPr>
        <w:pStyle w:val="54"/>
        <w:jc w:val="center"/>
        <w:outlineLvl w:val="2"/>
        <w:rPr>
          <w:rFonts w:ascii="仿宋" w:hAnsi="仿宋" w:eastAsia="仿宋" w:cs="仿宋"/>
          <w:b/>
          <w:color w:val="auto"/>
          <w:sz w:val="24"/>
          <w:szCs w:val="24"/>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BC2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32BECFC">
            <w:pPr>
              <w:pStyle w:val="54"/>
              <w:widowControl w:val="0"/>
              <w:spacing w:line="360" w:lineRule="auto"/>
              <w:jc w:val="left"/>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关于符合本国产品标准的声明函</w:t>
            </w:r>
          </w:p>
          <w:p w14:paraId="072F5C29">
            <w:pPr>
              <w:pStyle w:val="54"/>
              <w:widowControl w:val="0"/>
              <w:spacing w:line="360" w:lineRule="auto"/>
              <w:jc w:val="both"/>
              <w:rPr>
                <w:rFonts w:ascii="宋体" w:hAnsi="宋体" w:eastAsia="宋体" w:cs="宋体"/>
                <w:color w:val="auto"/>
                <w:sz w:val="24"/>
                <w:szCs w:val="24"/>
                <w:highlight w:val="none"/>
              </w:rPr>
            </w:pPr>
          </w:p>
          <w:p w14:paraId="3EEF57DA">
            <w:pPr>
              <w:pStyle w:val="54"/>
              <w:widowControl w:val="0"/>
              <w:spacing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7F0A208E">
            <w:pPr>
              <w:pStyle w:val="54"/>
              <w:widowControl w:val="0"/>
              <w:spacing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i/>
                <w:iCs/>
                <w:color w:val="auto"/>
                <w:sz w:val="24"/>
                <w:szCs w:val="24"/>
                <w:highlight w:val="none"/>
                <w:u w:val="single"/>
              </w:rPr>
              <w:t>（产品名称1）</w:t>
            </w:r>
            <w:r>
              <w:rPr>
                <w:rFonts w:ascii="宋体" w:hAnsi="宋体" w:eastAsia="宋体" w:cs="宋体"/>
                <w:i/>
                <w:iCs/>
                <w:color w:val="auto"/>
                <w:sz w:val="24"/>
                <w:szCs w:val="24"/>
                <w:highlight w:val="none"/>
                <w:vertAlign w:val="superscript"/>
              </w:rPr>
              <w:t>1</w:t>
            </w:r>
            <w:r>
              <w:rPr>
                <w:rFonts w:ascii="宋体" w:hAnsi="宋体" w:eastAsia="宋体" w:cs="宋体"/>
                <w:color w:val="auto"/>
                <w:sz w:val="24"/>
                <w:szCs w:val="24"/>
                <w:highlight w:val="none"/>
              </w:rPr>
              <w:t>，生产厂为</w:t>
            </w:r>
            <w:r>
              <w:rPr>
                <w:rFonts w:ascii="宋体" w:hAnsi="宋体" w:eastAsia="宋体" w:cs="宋体"/>
                <w:i/>
                <w:iCs/>
                <w:color w:val="auto"/>
                <w:sz w:val="24"/>
                <w:szCs w:val="24"/>
                <w:highlight w:val="none"/>
                <w:u w:val="single"/>
              </w:rPr>
              <w:t>（厂名）</w:t>
            </w:r>
            <w:r>
              <w:rPr>
                <w:rFonts w:ascii="宋体" w:hAnsi="宋体" w:eastAsia="宋体" w:cs="宋体"/>
                <w:i/>
                <w:iCs/>
                <w:color w:val="auto"/>
                <w:sz w:val="24"/>
                <w:szCs w:val="24"/>
                <w:highlight w:val="none"/>
                <w:vertAlign w:val="superscript"/>
              </w:rPr>
              <w:t>2</w:t>
            </w:r>
            <w:r>
              <w:rPr>
                <w:rFonts w:ascii="宋体" w:hAnsi="宋体" w:eastAsia="宋体" w:cs="宋体"/>
                <w:color w:val="auto"/>
                <w:sz w:val="24"/>
                <w:szCs w:val="24"/>
                <w:highlight w:val="none"/>
              </w:rPr>
              <w:t>，厂址为</w:t>
            </w:r>
            <w:r>
              <w:rPr>
                <w:rFonts w:ascii="宋体" w:hAnsi="宋体" w:eastAsia="宋体" w:cs="宋体"/>
                <w:i/>
                <w:iCs/>
                <w:color w:val="auto"/>
                <w:sz w:val="24"/>
                <w:szCs w:val="24"/>
                <w:highlight w:val="none"/>
                <w:u w:val="single"/>
              </w:rPr>
              <w:t>（生产厂址）</w:t>
            </w:r>
            <w:r>
              <w:rPr>
                <w:rFonts w:ascii="宋体" w:hAnsi="宋体" w:eastAsia="宋体" w:cs="宋体"/>
                <w:color w:val="auto"/>
                <w:sz w:val="24"/>
                <w:szCs w:val="24"/>
                <w:highlight w:val="none"/>
              </w:rPr>
              <w:t>。</w:t>
            </w:r>
            <w:r>
              <w:rPr>
                <w:rFonts w:ascii="宋体" w:hAnsi="宋体" w:eastAsia="宋体" w:cs="宋体"/>
                <w:i/>
                <w:iCs/>
                <w:color w:val="auto"/>
                <w:sz w:val="24"/>
                <w:szCs w:val="24"/>
                <w:highlight w:val="none"/>
                <w:u w:val="single"/>
              </w:rPr>
              <w:t>（产品名称1）</w:t>
            </w:r>
            <w:r>
              <w:rPr>
                <w:rFonts w:ascii="宋体" w:hAnsi="宋体" w:eastAsia="宋体" w:cs="宋体"/>
                <w:color w:val="auto"/>
                <w:sz w:val="24"/>
                <w:szCs w:val="24"/>
                <w:highlight w:val="none"/>
              </w:rPr>
              <w:t>的中国境内生产的组件成本占比≥</w:t>
            </w:r>
            <w:r>
              <w:rPr>
                <w:rFonts w:ascii="宋体" w:hAnsi="宋体" w:eastAsia="宋体" w:cs="宋体"/>
                <w:i/>
                <w:iCs/>
                <w:color w:val="auto"/>
                <w:sz w:val="24"/>
                <w:szCs w:val="24"/>
                <w:highlight w:val="none"/>
                <w:u w:val="single"/>
              </w:rPr>
              <w:t>（规定比例）</w:t>
            </w:r>
            <w:r>
              <w:rPr>
                <w:rFonts w:ascii="宋体" w:hAnsi="宋体" w:eastAsia="宋体" w:cs="宋体"/>
                <w:i/>
                <w:iCs/>
                <w:color w:val="auto"/>
                <w:sz w:val="24"/>
                <w:szCs w:val="24"/>
                <w:highlight w:val="none"/>
                <w:vertAlign w:val="superscript"/>
              </w:rPr>
              <w:t>3</w:t>
            </w:r>
            <w:r>
              <w:rPr>
                <w:rFonts w:ascii="宋体" w:hAnsi="宋体" w:eastAsia="宋体" w:cs="宋体"/>
                <w:color w:val="auto"/>
                <w:sz w:val="24"/>
                <w:szCs w:val="24"/>
                <w:highlight w:val="none"/>
              </w:rPr>
              <w:t>。</w:t>
            </w:r>
            <w:r>
              <w:rPr>
                <w:rFonts w:ascii="宋体" w:hAnsi="宋体" w:eastAsia="宋体" w:cs="宋体"/>
                <w:i/>
                <w:iCs/>
                <w:color w:val="auto"/>
                <w:sz w:val="24"/>
                <w:szCs w:val="24"/>
                <w:highlight w:val="none"/>
                <w:u w:val="single"/>
              </w:rPr>
              <w:t>（产品名称1）</w:t>
            </w:r>
            <w:r>
              <w:rPr>
                <w:rFonts w:ascii="宋体" w:hAnsi="宋体" w:eastAsia="宋体" w:cs="宋体"/>
                <w:color w:val="auto"/>
                <w:sz w:val="24"/>
                <w:szCs w:val="24"/>
                <w:highlight w:val="none"/>
              </w:rPr>
              <w:t>的</w:t>
            </w:r>
            <w:r>
              <w:rPr>
                <w:rFonts w:ascii="宋体" w:hAnsi="宋体" w:eastAsia="宋体" w:cs="宋体"/>
                <w:i/>
                <w:iCs/>
                <w:color w:val="auto"/>
                <w:sz w:val="24"/>
                <w:szCs w:val="24"/>
                <w:highlight w:val="none"/>
                <w:u w:val="single"/>
              </w:rPr>
              <w:t>（关键组件）</w:t>
            </w:r>
            <w:r>
              <w:rPr>
                <w:rFonts w:ascii="宋体" w:hAnsi="宋体" w:eastAsia="宋体" w:cs="宋体"/>
                <w:i/>
                <w:iCs/>
                <w:color w:val="auto"/>
                <w:sz w:val="24"/>
                <w:szCs w:val="24"/>
                <w:highlight w:val="none"/>
                <w:vertAlign w:val="superscript"/>
              </w:rPr>
              <w:t>4</w:t>
            </w:r>
            <w:r>
              <w:rPr>
                <w:rFonts w:ascii="宋体" w:hAnsi="宋体" w:eastAsia="宋体" w:cs="宋体"/>
                <w:color w:val="auto"/>
                <w:sz w:val="24"/>
                <w:szCs w:val="24"/>
                <w:highlight w:val="none"/>
              </w:rPr>
              <w:t>在中国境内生产。</w:t>
            </w:r>
            <w:r>
              <w:rPr>
                <w:rFonts w:ascii="宋体" w:hAnsi="宋体" w:eastAsia="宋体" w:cs="宋体"/>
                <w:i/>
                <w:iCs/>
                <w:color w:val="auto"/>
                <w:sz w:val="24"/>
                <w:szCs w:val="24"/>
                <w:highlight w:val="none"/>
                <w:u w:val="single"/>
              </w:rPr>
              <w:t>（产品名称1）</w:t>
            </w:r>
            <w:r>
              <w:rPr>
                <w:rFonts w:ascii="宋体" w:hAnsi="宋体" w:eastAsia="宋体" w:cs="宋体"/>
                <w:color w:val="auto"/>
                <w:sz w:val="24"/>
                <w:szCs w:val="24"/>
                <w:highlight w:val="none"/>
              </w:rPr>
              <w:t>的</w:t>
            </w:r>
            <w:r>
              <w:rPr>
                <w:rFonts w:ascii="宋体" w:hAnsi="宋体" w:eastAsia="宋体" w:cs="宋体"/>
                <w:i/>
                <w:iCs/>
                <w:color w:val="auto"/>
                <w:sz w:val="24"/>
                <w:szCs w:val="24"/>
                <w:highlight w:val="none"/>
                <w:u w:val="single"/>
              </w:rPr>
              <w:t>（关键工序）</w:t>
            </w:r>
            <w:r>
              <w:rPr>
                <w:rFonts w:ascii="宋体" w:hAnsi="宋体" w:eastAsia="宋体" w:cs="宋体"/>
                <w:i/>
                <w:iCs/>
                <w:color w:val="auto"/>
                <w:sz w:val="24"/>
                <w:szCs w:val="24"/>
                <w:highlight w:val="none"/>
                <w:vertAlign w:val="superscript"/>
              </w:rPr>
              <w:t>5</w:t>
            </w:r>
            <w:r>
              <w:rPr>
                <w:rFonts w:ascii="宋体" w:hAnsi="宋体" w:eastAsia="宋体" w:cs="宋体"/>
                <w:color w:val="auto"/>
                <w:sz w:val="24"/>
                <w:szCs w:val="24"/>
                <w:highlight w:val="none"/>
              </w:rPr>
              <w:t>在中国境内完成。</w:t>
            </w:r>
          </w:p>
          <w:p w14:paraId="428FEA09">
            <w:pPr>
              <w:pStyle w:val="54"/>
              <w:widowControl w:val="0"/>
              <w:spacing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i/>
                <w:iCs/>
                <w:color w:val="auto"/>
                <w:sz w:val="24"/>
                <w:szCs w:val="24"/>
                <w:highlight w:val="none"/>
                <w:u w:val="single"/>
              </w:rPr>
              <w:t>（产品名称2）</w:t>
            </w:r>
            <w:r>
              <w:rPr>
                <w:rFonts w:ascii="宋体" w:hAnsi="宋体" w:eastAsia="宋体" w:cs="宋体"/>
                <w:color w:val="auto"/>
                <w:sz w:val="24"/>
                <w:szCs w:val="24"/>
                <w:highlight w:val="none"/>
              </w:rPr>
              <w:t>，生产厂为</w:t>
            </w:r>
            <w:r>
              <w:rPr>
                <w:rFonts w:ascii="宋体" w:hAnsi="宋体" w:eastAsia="宋体" w:cs="宋体"/>
                <w:i/>
                <w:iCs/>
                <w:color w:val="auto"/>
                <w:sz w:val="24"/>
                <w:szCs w:val="24"/>
                <w:highlight w:val="none"/>
                <w:u w:val="single"/>
              </w:rPr>
              <w:t>（厂名）</w:t>
            </w:r>
            <w:r>
              <w:rPr>
                <w:rFonts w:ascii="宋体" w:hAnsi="宋体" w:eastAsia="宋体" w:cs="宋体"/>
                <w:color w:val="auto"/>
                <w:sz w:val="24"/>
                <w:szCs w:val="24"/>
                <w:highlight w:val="none"/>
              </w:rPr>
              <w:t>，厂址为</w:t>
            </w:r>
            <w:r>
              <w:rPr>
                <w:rFonts w:ascii="宋体" w:hAnsi="宋体" w:eastAsia="宋体" w:cs="宋体"/>
                <w:i/>
                <w:iCs/>
                <w:color w:val="auto"/>
                <w:sz w:val="24"/>
                <w:szCs w:val="24"/>
                <w:highlight w:val="none"/>
                <w:u w:val="single"/>
              </w:rPr>
              <w:t>（生产厂址）</w:t>
            </w:r>
            <w:r>
              <w:rPr>
                <w:rFonts w:ascii="宋体" w:hAnsi="宋体" w:eastAsia="宋体" w:cs="宋体"/>
                <w:color w:val="auto"/>
                <w:sz w:val="24"/>
                <w:szCs w:val="24"/>
                <w:highlight w:val="none"/>
              </w:rPr>
              <w:t>。</w:t>
            </w:r>
            <w:r>
              <w:rPr>
                <w:rFonts w:ascii="宋体" w:hAnsi="宋体" w:eastAsia="宋体" w:cs="宋体"/>
                <w:i/>
                <w:iCs/>
                <w:color w:val="auto"/>
                <w:sz w:val="24"/>
                <w:szCs w:val="24"/>
                <w:highlight w:val="none"/>
                <w:u w:val="single"/>
              </w:rPr>
              <w:t>（产品名称2）</w:t>
            </w:r>
            <w:r>
              <w:rPr>
                <w:rFonts w:ascii="宋体" w:hAnsi="宋体" w:eastAsia="宋体" w:cs="宋体"/>
                <w:color w:val="auto"/>
                <w:sz w:val="24"/>
                <w:szCs w:val="24"/>
                <w:highlight w:val="none"/>
              </w:rPr>
              <w:t>的中国境内生产的组件成本占比≥</w:t>
            </w:r>
            <w:r>
              <w:rPr>
                <w:rFonts w:ascii="宋体" w:hAnsi="宋体" w:eastAsia="宋体" w:cs="宋体"/>
                <w:i/>
                <w:iCs/>
                <w:color w:val="auto"/>
                <w:sz w:val="24"/>
                <w:szCs w:val="24"/>
                <w:highlight w:val="none"/>
                <w:u w:val="single"/>
              </w:rPr>
              <w:t>（规定比例）</w:t>
            </w:r>
            <w:r>
              <w:rPr>
                <w:rFonts w:ascii="宋体" w:hAnsi="宋体" w:eastAsia="宋体" w:cs="宋体"/>
                <w:color w:val="auto"/>
                <w:sz w:val="24"/>
                <w:szCs w:val="24"/>
                <w:highlight w:val="none"/>
              </w:rPr>
              <w:t>。</w:t>
            </w:r>
            <w:r>
              <w:rPr>
                <w:rFonts w:ascii="宋体" w:hAnsi="宋体" w:eastAsia="宋体" w:cs="宋体"/>
                <w:i/>
                <w:iCs/>
                <w:color w:val="auto"/>
                <w:sz w:val="24"/>
                <w:szCs w:val="24"/>
                <w:highlight w:val="none"/>
                <w:u w:val="single"/>
              </w:rPr>
              <w:t>（产品名称2）</w:t>
            </w:r>
            <w:r>
              <w:rPr>
                <w:rFonts w:ascii="宋体" w:hAnsi="宋体" w:eastAsia="宋体" w:cs="宋体"/>
                <w:color w:val="auto"/>
                <w:sz w:val="24"/>
                <w:szCs w:val="24"/>
                <w:highlight w:val="none"/>
              </w:rPr>
              <w:t>的</w:t>
            </w:r>
            <w:r>
              <w:rPr>
                <w:rFonts w:ascii="宋体" w:hAnsi="宋体" w:eastAsia="宋体" w:cs="宋体"/>
                <w:i/>
                <w:iCs/>
                <w:color w:val="auto"/>
                <w:sz w:val="24"/>
                <w:szCs w:val="24"/>
                <w:highlight w:val="none"/>
                <w:u w:val="single"/>
              </w:rPr>
              <w:t>（关键组件）</w:t>
            </w:r>
            <w:r>
              <w:rPr>
                <w:rFonts w:ascii="宋体" w:hAnsi="宋体" w:eastAsia="宋体" w:cs="宋体"/>
                <w:color w:val="auto"/>
                <w:sz w:val="24"/>
                <w:szCs w:val="24"/>
                <w:highlight w:val="none"/>
              </w:rPr>
              <w:t>在中国境内生产。</w:t>
            </w:r>
            <w:r>
              <w:rPr>
                <w:rFonts w:ascii="宋体" w:hAnsi="宋体" w:eastAsia="宋体" w:cs="宋体"/>
                <w:i/>
                <w:iCs/>
                <w:color w:val="auto"/>
                <w:sz w:val="24"/>
                <w:szCs w:val="24"/>
                <w:highlight w:val="none"/>
                <w:u w:val="single"/>
              </w:rPr>
              <w:t>（产品名称2）</w:t>
            </w:r>
            <w:r>
              <w:rPr>
                <w:rFonts w:ascii="宋体" w:hAnsi="宋体" w:eastAsia="宋体" w:cs="宋体"/>
                <w:color w:val="auto"/>
                <w:sz w:val="24"/>
                <w:szCs w:val="24"/>
                <w:highlight w:val="none"/>
              </w:rPr>
              <w:t>的</w:t>
            </w:r>
            <w:r>
              <w:rPr>
                <w:rFonts w:ascii="宋体" w:hAnsi="宋体" w:eastAsia="宋体" w:cs="宋体"/>
                <w:i/>
                <w:iCs/>
                <w:color w:val="auto"/>
                <w:sz w:val="24"/>
                <w:szCs w:val="24"/>
                <w:highlight w:val="none"/>
                <w:u w:val="single"/>
              </w:rPr>
              <w:t>（关键工序）</w:t>
            </w:r>
            <w:r>
              <w:rPr>
                <w:rFonts w:ascii="宋体" w:hAnsi="宋体" w:eastAsia="宋体" w:cs="宋体"/>
                <w:color w:val="auto"/>
                <w:sz w:val="24"/>
                <w:szCs w:val="24"/>
                <w:highlight w:val="none"/>
              </w:rPr>
              <w:t>在中国境内完成。</w:t>
            </w:r>
          </w:p>
          <w:p w14:paraId="26123E40">
            <w:pPr>
              <w:pStyle w:val="54"/>
              <w:widowControl w:val="0"/>
              <w:spacing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14:paraId="24EAF511">
            <w:pPr>
              <w:pStyle w:val="54"/>
              <w:widowControl w:val="0"/>
              <w:spacing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本公司（单位）对上述声明内容的真实性负责。如有虚假，愿承担相应法律责任。</w:t>
            </w:r>
          </w:p>
          <w:p w14:paraId="64C86284">
            <w:pPr>
              <w:pStyle w:val="54"/>
              <w:widowControl w:val="0"/>
              <w:spacing w:line="360" w:lineRule="auto"/>
              <w:jc w:val="both"/>
              <w:rPr>
                <w:rFonts w:ascii="宋体" w:hAnsi="宋体" w:eastAsia="宋体" w:cs="宋体"/>
                <w:color w:val="auto"/>
                <w:sz w:val="24"/>
                <w:szCs w:val="24"/>
                <w:highlight w:val="none"/>
              </w:rPr>
            </w:pPr>
          </w:p>
          <w:p w14:paraId="76785DE2">
            <w:pPr>
              <w:pStyle w:val="54"/>
              <w:widowControl w:val="0"/>
              <w:spacing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公司（投标人）名称（盖章）：　        </w:t>
            </w:r>
          </w:p>
          <w:p w14:paraId="02B69194">
            <w:pPr>
              <w:pStyle w:val="54"/>
              <w:widowControl w:val="0"/>
              <w:spacing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日期：　     年　  月　  日         </w:t>
            </w:r>
          </w:p>
          <w:p w14:paraId="30FB9297">
            <w:pPr>
              <w:pStyle w:val="54"/>
              <w:widowControl w:val="0"/>
              <w:spacing w:line="360" w:lineRule="auto"/>
              <w:jc w:val="both"/>
              <w:rPr>
                <w:rFonts w:ascii="宋体" w:hAnsi="宋体" w:eastAsia="宋体" w:cs="宋体"/>
                <w:color w:val="auto"/>
                <w:sz w:val="24"/>
                <w:szCs w:val="24"/>
                <w:highlight w:val="none"/>
              </w:rPr>
            </w:pPr>
          </w:p>
          <w:p w14:paraId="3E336AB2">
            <w:pPr>
              <w:pStyle w:val="54"/>
              <w:widowControl w:val="0"/>
              <w:spacing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1.产品如有型号，请在“产品名称”栏一并填写。</w:t>
            </w:r>
          </w:p>
          <w:p w14:paraId="55911637">
            <w:pPr>
              <w:pStyle w:val="54"/>
              <w:widowControl w:val="0"/>
              <w:spacing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2.生产厂名与厂址应与生产厂营业执照载明的相关信息保持一致。</w:t>
            </w:r>
          </w:p>
          <w:p w14:paraId="3A0E16DF">
            <w:pPr>
              <w:pStyle w:val="54"/>
              <w:widowControl w:val="0"/>
              <w:spacing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3.该产品的中国境内生产的组件成本占比相关要求实施前，“规定比例”栏可不填，下同。</w:t>
            </w:r>
          </w:p>
          <w:p w14:paraId="49902926">
            <w:pPr>
              <w:pStyle w:val="54"/>
              <w:widowControl w:val="0"/>
              <w:spacing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4.该产品的关键组件要求实施前，“关键组件”栏可不填，下同。</w:t>
            </w:r>
          </w:p>
          <w:p w14:paraId="3A87833A">
            <w:pPr>
              <w:pStyle w:val="54"/>
              <w:widowControl w:val="0"/>
              <w:spacing w:line="360" w:lineRule="auto"/>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5.该产品的关键工序要求实施前，“关键工序”栏可不填，下同。</w:t>
            </w:r>
          </w:p>
        </w:tc>
      </w:tr>
    </w:tbl>
    <w:p w14:paraId="1AFAACE6">
      <w:pPr>
        <w:spacing w:line="360" w:lineRule="auto"/>
        <w:jc w:val="center"/>
        <w:rPr>
          <w:rFonts w:ascii="黑体" w:hAnsi="黑体" w:eastAsia="黑体" w:cs="宋体"/>
          <w:b/>
          <w:bCs/>
          <w:color w:val="auto"/>
          <w:kern w:val="0"/>
          <w:sz w:val="28"/>
          <w:szCs w:val="18"/>
          <w:highlight w:val="none"/>
        </w:rPr>
      </w:pPr>
      <w:r>
        <w:rPr>
          <w:rFonts w:hint="eastAsia" w:ascii="黑体" w:hAnsi="黑体" w:eastAsia="黑体" w:cs="宋体"/>
          <w:b/>
          <w:bCs/>
          <w:color w:val="auto"/>
          <w:kern w:val="0"/>
          <w:sz w:val="28"/>
          <w:szCs w:val="18"/>
          <w:highlight w:val="none"/>
        </w:rPr>
        <w:t>（</w:t>
      </w:r>
      <w:r>
        <w:rPr>
          <w:rFonts w:hint="eastAsia" w:ascii="黑体" w:hAnsi="黑体" w:eastAsia="黑体" w:cs="宋体"/>
          <w:b/>
          <w:bCs/>
          <w:color w:val="auto"/>
          <w:kern w:val="0"/>
          <w:sz w:val="28"/>
          <w:szCs w:val="18"/>
          <w:highlight w:val="none"/>
          <w:lang w:val="en-US" w:eastAsia="zh-CN"/>
        </w:rPr>
        <w:t>三</w:t>
      </w:r>
      <w:r>
        <w:rPr>
          <w:rFonts w:hint="eastAsia" w:ascii="黑体" w:hAnsi="黑体" w:eastAsia="黑体" w:cs="宋体"/>
          <w:b/>
          <w:bCs/>
          <w:color w:val="auto"/>
          <w:kern w:val="0"/>
          <w:sz w:val="28"/>
          <w:szCs w:val="18"/>
          <w:highlight w:val="none"/>
        </w:rPr>
        <w:t>）技术商务评分响应索引表</w:t>
      </w:r>
      <w:bookmarkEnd w:id="25"/>
    </w:p>
    <w:tbl>
      <w:tblPr>
        <w:tblStyle w:val="17"/>
        <w:tblW w:w="8888"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134"/>
        <w:gridCol w:w="4732"/>
        <w:gridCol w:w="3022"/>
      </w:tblGrid>
      <w:tr w14:paraId="6079967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0770F6AB">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序号</w:t>
            </w:r>
          </w:p>
        </w:tc>
        <w:tc>
          <w:tcPr>
            <w:tcW w:w="4732" w:type="dxa"/>
            <w:vAlign w:val="center"/>
          </w:tcPr>
          <w:p w14:paraId="0A6DAFE2">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评分标准要求</w:t>
            </w:r>
          </w:p>
        </w:tc>
        <w:tc>
          <w:tcPr>
            <w:tcW w:w="3022" w:type="dxa"/>
            <w:vAlign w:val="center"/>
          </w:tcPr>
          <w:p w14:paraId="0D01AE58">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对应投标文件页码</w:t>
            </w:r>
          </w:p>
        </w:tc>
      </w:tr>
      <w:tr w14:paraId="4E1067E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888" w:type="dxa"/>
            <w:gridSpan w:val="3"/>
            <w:vAlign w:val="center"/>
          </w:tcPr>
          <w:p w14:paraId="2D67B7E6">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技术因素评分</w:t>
            </w:r>
          </w:p>
        </w:tc>
      </w:tr>
      <w:tr w14:paraId="283B410D">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1193333B">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1-1</w:t>
            </w:r>
          </w:p>
        </w:tc>
        <w:tc>
          <w:tcPr>
            <w:tcW w:w="4732" w:type="dxa"/>
            <w:vAlign w:val="center"/>
          </w:tcPr>
          <w:p w14:paraId="58DC540D">
            <w:pPr>
              <w:spacing w:beforeLines="50" w:afterLines="50"/>
              <w:jc w:val="center"/>
              <w:rPr>
                <w:rFonts w:ascii="宋体" w:hAnsi="宋体" w:eastAsia="黑体" w:cs="Times New Roman"/>
                <w:b/>
                <w:bCs/>
                <w:color w:val="auto"/>
                <w:sz w:val="24"/>
                <w:szCs w:val="32"/>
                <w:highlight w:val="none"/>
              </w:rPr>
            </w:pPr>
          </w:p>
        </w:tc>
        <w:tc>
          <w:tcPr>
            <w:tcW w:w="3022" w:type="dxa"/>
            <w:vAlign w:val="center"/>
          </w:tcPr>
          <w:p w14:paraId="349A9F08">
            <w:pPr>
              <w:spacing w:beforeLines="50" w:afterLines="50"/>
              <w:jc w:val="center"/>
              <w:rPr>
                <w:rFonts w:ascii="宋体" w:hAnsi="宋体" w:eastAsia="黑体" w:cs="Times New Roman"/>
                <w:b/>
                <w:bCs/>
                <w:color w:val="auto"/>
                <w:sz w:val="24"/>
                <w:szCs w:val="32"/>
                <w:highlight w:val="none"/>
              </w:rPr>
            </w:pPr>
          </w:p>
        </w:tc>
      </w:tr>
      <w:tr w14:paraId="326ADDA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1754ECCB">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1-2</w:t>
            </w:r>
          </w:p>
        </w:tc>
        <w:tc>
          <w:tcPr>
            <w:tcW w:w="4732" w:type="dxa"/>
            <w:vAlign w:val="center"/>
          </w:tcPr>
          <w:p w14:paraId="69F57FC6">
            <w:pPr>
              <w:spacing w:beforeLines="50" w:afterLines="50"/>
              <w:jc w:val="center"/>
              <w:rPr>
                <w:rFonts w:ascii="宋体" w:hAnsi="宋体" w:eastAsia="黑体" w:cs="Times New Roman"/>
                <w:b/>
                <w:bCs/>
                <w:color w:val="auto"/>
                <w:sz w:val="24"/>
                <w:szCs w:val="32"/>
                <w:highlight w:val="none"/>
              </w:rPr>
            </w:pPr>
          </w:p>
        </w:tc>
        <w:tc>
          <w:tcPr>
            <w:tcW w:w="3022" w:type="dxa"/>
            <w:vAlign w:val="center"/>
          </w:tcPr>
          <w:p w14:paraId="0A302C19">
            <w:pPr>
              <w:spacing w:beforeLines="50" w:afterLines="50"/>
              <w:jc w:val="center"/>
              <w:rPr>
                <w:rFonts w:ascii="宋体" w:hAnsi="宋体" w:eastAsia="黑体" w:cs="Times New Roman"/>
                <w:b/>
                <w:bCs/>
                <w:color w:val="auto"/>
                <w:sz w:val="24"/>
                <w:szCs w:val="32"/>
                <w:highlight w:val="none"/>
              </w:rPr>
            </w:pPr>
          </w:p>
        </w:tc>
      </w:tr>
      <w:tr w14:paraId="6DDE0EB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888" w:type="dxa"/>
            <w:gridSpan w:val="3"/>
            <w:vAlign w:val="center"/>
          </w:tcPr>
          <w:p w14:paraId="69DCBF56">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商务因素评分</w:t>
            </w:r>
          </w:p>
        </w:tc>
      </w:tr>
      <w:tr w14:paraId="50FC0B6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4317D7BD">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2-1</w:t>
            </w:r>
          </w:p>
        </w:tc>
        <w:tc>
          <w:tcPr>
            <w:tcW w:w="4732" w:type="dxa"/>
            <w:vAlign w:val="center"/>
          </w:tcPr>
          <w:p w14:paraId="7EC16955">
            <w:pPr>
              <w:spacing w:beforeLines="50" w:afterLines="50"/>
              <w:jc w:val="center"/>
              <w:rPr>
                <w:rFonts w:ascii="宋体" w:hAnsi="宋体" w:eastAsia="黑体" w:cs="Times New Roman"/>
                <w:b/>
                <w:bCs/>
                <w:color w:val="auto"/>
                <w:sz w:val="24"/>
                <w:szCs w:val="32"/>
                <w:highlight w:val="none"/>
              </w:rPr>
            </w:pPr>
          </w:p>
        </w:tc>
        <w:tc>
          <w:tcPr>
            <w:tcW w:w="3022" w:type="dxa"/>
            <w:vAlign w:val="center"/>
          </w:tcPr>
          <w:p w14:paraId="070D2C35">
            <w:pPr>
              <w:spacing w:beforeLines="50" w:afterLines="50"/>
              <w:jc w:val="center"/>
              <w:rPr>
                <w:rFonts w:ascii="宋体" w:hAnsi="宋体" w:eastAsia="黑体" w:cs="Times New Roman"/>
                <w:b/>
                <w:bCs/>
                <w:color w:val="auto"/>
                <w:sz w:val="24"/>
                <w:szCs w:val="32"/>
                <w:highlight w:val="none"/>
              </w:rPr>
            </w:pPr>
          </w:p>
        </w:tc>
      </w:tr>
      <w:tr w14:paraId="4DE121F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vAlign w:val="center"/>
          </w:tcPr>
          <w:p w14:paraId="5818203C">
            <w:pPr>
              <w:spacing w:beforeLines="50" w:afterLines="50"/>
              <w:jc w:val="center"/>
              <w:rPr>
                <w:rFonts w:ascii="宋体" w:hAnsi="宋体" w:eastAsia="宋体" w:cs="Times New Roman"/>
                <w:bCs/>
                <w:color w:val="auto"/>
                <w:sz w:val="24"/>
                <w:szCs w:val="32"/>
                <w:highlight w:val="none"/>
              </w:rPr>
            </w:pPr>
            <w:r>
              <w:rPr>
                <w:rFonts w:hint="eastAsia" w:ascii="宋体" w:hAnsi="宋体" w:eastAsia="宋体" w:cs="Times New Roman"/>
                <w:bCs/>
                <w:color w:val="auto"/>
                <w:sz w:val="24"/>
                <w:szCs w:val="32"/>
                <w:highlight w:val="none"/>
              </w:rPr>
              <w:t>2-2</w:t>
            </w:r>
          </w:p>
        </w:tc>
        <w:tc>
          <w:tcPr>
            <w:tcW w:w="4732" w:type="dxa"/>
            <w:vAlign w:val="center"/>
          </w:tcPr>
          <w:p w14:paraId="50CFABFD">
            <w:pPr>
              <w:spacing w:beforeLines="50" w:afterLines="50"/>
              <w:jc w:val="center"/>
              <w:rPr>
                <w:rFonts w:ascii="宋体" w:hAnsi="宋体" w:eastAsia="黑体" w:cs="Times New Roman"/>
                <w:b/>
                <w:bCs/>
                <w:color w:val="auto"/>
                <w:sz w:val="24"/>
                <w:szCs w:val="32"/>
                <w:highlight w:val="none"/>
              </w:rPr>
            </w:pPr>
          </w:p>
        </w:tc>
        <w:tc>
          <w:tcPr>
            <w:tcW w:w="3022" w:type="dxa"/>
            <w:vAlign w:val="center"/>
          </w:tcPr>
          <w:p w14:paraId="705BF05D">
            <w:pPr>
              <w:spacing w:beforeLines="50" w:afterLines="50"/>
              <w:jc w:val="center"/>
              <w:rPr>
                <w:rFonts w:ascii="宋体" w:hAnsi="宋体" w:eastAsia="黑体" w:cs="Times New Roman"/>
                <w:b/>
                <w:bCs/>
                <w:color w:val="auto"/>
                <w:sz w:val="24"/>
                <w:szCs w:val="32"/>
                <w:highlight w:val="none"/>
              </w:rPr>
            </w:pPr>
          </w:p>
        </w:tc>
      </w:tr>
    </w:tbl>
    <w:p w14:paraId="146E05F2">
      <w:pPr>
        <w:spacing w:line="360" w:lineRule="auto"/>
        <w:jc w:val="left"/>
        <w:rPr>
          <w:rFonts w:cs="宋体" w:asciiTheme="minorEastAsia" w:hAnsiTheme="minorEastAsia"/>
          <w:bCs/>
          <w:color w:val="auto"/>
          <w:kern w:val="0"/>
          <w:sz w:val="24"/>
          <w:szCs w:val="24"/>
          <w:highlight w:val="none"/>
        </w:rPr>
      </w:pPr>
    </w:p>
    <w:p w14:paraId="10F05125">
      <w:pPr>
        <w:rPr>
          <w:color w:val="auto"/>
          <w:highlight w:val="none"/>
        </w:rPr>
        <w:sectPr>
          <w:pgSz w:w="11906" w:h="16838"/>
          <w:pgMar w:top="1418" w:right="1418" w:bottom="1418" w:left="1418" w:header="851" w:footer="992" w:gutter="0"/>
          <w:cols w:space="425" w:num="1"/>
          <w:docGrid w:type="lines" w:linePitch="312" w:charSpace="0"/>
        </w:sectPr>
      </w:pPr>
    </w:p>
    <w:p w14:paraId="1089A7E6">
      <w:pPr>
        <w:spacing w:beforeLines="50" w:afterLines="50"/>
        <w:jc w:val="center"/>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关于</w:t>
      </w:r>
      <w:r>
        <w:rPr>
          <w:rFonts w:hint="eastAsia" w:ascii="黑体" w:hAnsi="黑体" w:eastAsia="黑体" w:cs="Times New Roman"/>
          <w:color w:val="auto"/>
          <w:sz w:val="32"/>
          <w:szCs w:val="32"/>
          <w:highlight w:val="none"/>
        </w:rPr>
        <w:t>串标情形及后果的告知函</w:t>
      </w:r>
    </w:p>
    <w:p w14:paraId="2E536F3C">
      <w:pPr>
        <w:spacing w:line="360" w:lineRule="auto"/>
        <w:ind w:firstLine="482" w:firstLineChars="200"/>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根据《厦门市财政局关于加强涉嫌串通投标情形处理的通知》要求，现将有关串标情形及后果的规定列明如下，请各供应商仔细阅读，在参与本项目采购活动中，要遵纪守法，公平参与竞争，不得从事违法行为，否则将依法承担相应责任：</w:t>
      </w:r>
    </w:p>
    <w:p w14:paraId="05E37760">
      <w:pPr>
        <w:spacing w:line="360" w:lineRule="auto"/>
        <w:ind w:firstLine="482" w:firstLineChars="20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一、串标情形</w:t>
      </w:r>
    </w:p>
    <w:p w14:paraId="03CCA77A">
      <w:pPr>
        <w:spacing w:line="360" w:lineRule="auto"/>
        <w:ind w:firstLine="482" w:firstLineChars="200"/>
        <w:rPr>
          <w:rFonts w:ascii="宋体" w:hAnsi="宋体" w:eastAsia="宋体" w:cs="Times New Roman"/>
          <w:color w:val="auto"/>
          <w:sz w:val="24"/>
          <w:szCs w:val="28"/>
          <w:highlight w:val="none"/>
        </w:rPr>
      </w:pPr>
      <w:r>
        <w:rPr>
          <w:rFonts w:hint="eastAsia" w:ascii="宋体" w:hAnsi="宋体" w:eastAsia="宋体" w:cs="Times New Roman"/>
          <w:b/>
          <w:color w:val="auto"/>
          <w:sz w:val="24"/>
          <w:szCs w:val="28"/>
          <w:highlight w:val="none"/>
        </w:rPr>
        <w:t>1、《政府采购法》第二十五条</w:t>
      </w:r>
      <w:r>
        <w:rPr>
          <w:rFonts w:hint="eastAsia" w:ascii="宋体" w:hAnsi="宋体" w:eastAsia="宋体" w:cs="Times New Roman"/>
          <w:color w:val="auto"/>
          <w:sz w:val="24"/>
          <w:szCs w:val="28"/>
          <w:highlight w:val="none"/>
        </w:rPr>
        <w:t>：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中标或者成交。</w:t>
      </w:r>
    </w:p>
    <w:p w14:paraId="4F1EF0AA">
      <w:pPr>
        <w:spacing w:line="360" w:lineRule="auto"/>
        <w:ind w:firstLine="482" w:firstLineChars="200"/>
        <w:rPr>
          <w:rFonts w:ascii="宋体" w:hAnsi="宋体" w:eastAsia="宋体" w:cs="Times New Roman"/>
          <w:color w:val="auto"/>
          <w:sz w:val="24"/>
          <w:szCs w:val="28"/>
          <w:highlight w:val="none"/>
        </w:rPr>
      </w:pPr>
      <w:r>
        <w:rPr>
          <w:rFonts w:hint="eastAsia" w:ascii="宋体" w:hAnsi="宋体" w:eastAsia="宋体" w:cs="Times New Roman"/>
          <w:b/>
          <w:color w:val="auto"/>
          <w:sz w:val="24"/>
          <w:szCs w:val="28"/>
          <w:highlight w:val="none"/>
        </w:rPr>
        <w:t>2、《政府采购法实施条例》第七十四条</w:t>
      </w:r>
      <w:r>
        <w:rPr>
          <w:rFonts w:hint="eastAsia" w:ascii="宋体" w:hAnsi="宋体" w:eastAsia="宋体" w:cs="Times New Roman"/>
          <w:color w:val="auto"/>
          <w:sz w:val="24"/>
          <w:szCs w:val="28"/>
          <w:highlight w:val="none"/>
        </w:rPr>
        <w:t>：有下列情形之一的，属于恶意串通，对供应商依照政府采购法第七十七条第一款的规定追究法律责任，对采购人、采购代理机构及其工作人员依照政府采购法第七十二条的规定追究法律责任：</w:t>
      </w:r>
    </w:p>
    <w:p w14:paraId="56AF5859">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（一）供应商直接或者间接从采购人或者采购代理机构处获得其他供应商的相关情况并修改其投标文件或者响应文件；</w:t>
      </w:r>
    </w:p>
    <w:p w14:paraId="10490417">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（二）供应商按照采购人或者采购代理机构的授意撤换、修改投标文件或者响应文件；</w:t>
      </w:r>
    </w:p>
    <w:p w14:paraId="13DE1C1E">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（三）供应商之间协商报价、技术方案等投标文件或者响应文件的实质性内容；</w:t>
      </w:r>
    </w:p>
    <w:p w14:paraId="0366A946">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（四）属于同一集团、协会、商会等组织成员的供应商按照该组织要求协同参加政府采购活动；</w:t>
      </w:r>
    </w:p>
    <w:p w14:paraId="3E22E42D">
      <w:pPr>
        <w:spacing w:line="360" w:lineRule="auto"/>
        <w:ind w:firstLine="480" w:firstLineChars="200"/>
        <w:rPr>
          <w:rFonts w:ascii="宋体" w:hAnsi="宋体" w:eastAsia="宋体" w:cs="Times New Roman"/>
          <w:color w:val="auto"/>
          <w:sz w:val="24"/>
          <w:szCs w:val="28"/>
          <w:highlight w:val="none"/>
        </w:rPr>
      </w:pPr>
      <w:bookmarkStart w:id="26" w:name="_Toc100307870"/>
      <w:r>
        <w:rPr>
          <w:rFonts w:hint="eastAsia" w:ascii="宋体" w:hAnsi="宋体" w:eastAsia="宋体" w:cs="Times New Roman"/>
          <w:color w:val="auto"/>
          <w:sz w:val="24"/>
          <w:szCs w:val="28"/>
          <w:highlight w:val="none"/>
        </w:rPr>
        <w:t>（五）供应商之间事先约定由某一特定供应商中标、成交；</w:t>
      </w:r>
      <w:bookmarkEnd w:id="26"/>
    </w:p>
    <w:p w14:paraId="01239726">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（六）供应商之间商定部分供应商放弃参加政府采购活动或者放弃中标、成交；</w:t>
      </w:r>
    </w:p>
    <w:p w14:paraId="5E7BE78B">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（七）供应商与采购人或者采购代理机构之间、供应商相互之间，为谋求特定供应商中标、成交或者排斥其他供应商的其他串通行为。</w:t>
      </w:r>
    </w:p>
    <w:p w14:paraId="595D08B2">
      <w:pPr>
        <w:spacing w:line="360" w:lineRule="auto"/>
        <w:ind w:firstLine="482" w:firstLineChars="200"/>
        <w:rPr>
          <w:rFonts w:ascii="宋体" w:hAnsi="宋体" w:eastAsia="宋体" w:cs="Times New Roman"/>
          <w:color w:val="auto"/>
          <w:sz w:val="24"/>
          <w:szCs w:val="28"/>
          <w:highlight w:val="none"/>
        </w:rPr>
      </w:pPr>
      <w:r>
        <w:rPr>
          <w:rFonts w:hint="eastAsia" w:ascii="宋体" w:hAnsi="宋体" w:eastAsia="宋体" w:cs="Times New Roman"/>
          <w:b/>
          <w:color w:val="auto"/>
          <w:sz w:val="24"/>
          <w:szCs w:val="28"/>
          <w:highlight w:val="none"/>
        </w:rPr>
        <w:t>3、《政府采购货物和服务招标投标管理办法》（财政部令第87号）第三十七条</w:t>
      </w:r>
      <w:r>
        <w:rPr>
          <w:rFonts w:hint="eastAsia" w:ascii="宋体" w:hAnsi="宋体" w:eastAsia="宋体" w:cs="Times New Roman"/>
          <w:color w:val="auto"/>
          <w:sz w:val="24"/>
          <w:szCs w:val="28"/>
          <w:highlight w:val="none"/>
        </w:rPr>
        <w:t>：有下列情形之一的，视为投标人串通投标，其投标无效：</w:t>
      </w:r>
    </w:p>
    <w:p w14:paraId="07292E13">
      <w:pPr>
        <w:spacing w:line="360" w:lineRule="auto"/>
        <w:ind w:firstLine="480" w:firstLineChars="200"/>
        <w:rPr>
          <w:rFonts w:ascii="宋体" w:hAnsi="宋体" w:eastAsia="宋体" w:cs="Times New Roman"/>
          <w:color w:val="auto"/>
          <w:sz w:val="24"/>
          <w:szCs w:val="28"/>
          <w:highlight w:val="none"/>
        </w:rPr>
      </w:pPr>
      <w:bookmarkStart w:id="27" w:name="_Toc100307871"/>
      <w:r>
        <w:rPr>
          <w:rFonts w:hint="eastAsia" w:ascii="宋体" w:hAnsi="宋体" w:eastAsia="宋体" w:cs="Times New Roman"/>
          <w:color w:val="auto"/>
          <w:sz w:val="24"/>
          <w:szCs w:val="28"/>
          <w:highlight w:val="none"/>
        </w:rPr>
        <w:t>（一）不同投标人的投标文件由同一单位或者个人编制；</w:t>
      </w:r>
      <w:bookmarkEnd w:id="27"/>
    </w:p>
    <w:p w14:paraId="456E3ED1">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（二）不同投标人委托同一单位或者个人办理投标事宜；</w:t>
      </w:r>
    </w:p>
    <w:p w14:paraId="4E9BE6CB">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（三）不同投标人的投标文件载明的项目管理成员或者联系人员为同一人；</w:t>
      </w:r>
    </w:p>
    <w:p w14:paraId="1562048D">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（四）不同投标人的投标文件异常一致或者投标报价呈规律性差异；</w:t>
      </w:r>
    </w:p>
    <w:p w14:paraId="222F7DD1">
      <w:pPr>
        <w:spacing w:line="360" w:lineRule="auto"/>
        <w:ind w:firstLine="480" w:firstLineChars="200"/>
        <w:rPr>
          <w:rFonts w:ascii="宋体" w:hAnsi="宋体" w:eastAsia="宋体" w:cs="Times New Roman"/>
          <w:color w:val="auto"/>
          <w:sz w:val="24"/>
          <w:szCs w:val="28"/>
          <w:highlight w:val="none"/>
        </w:rPr>
      </w:pPr>
      <w:bookmarkStart w:id="28" w:name="_Toc100307872"/>
      <w:r>
        <w:rPr>
          <w:rFonts w:hint="eastAsia" w:ascii="宋体" w:hAnsi="宋体" w:eastAsia="宋体" w:cs="Times New Roman"/>
          <w:color w:val="auto"/>
          <w:sz w:val="24"/>
          <w:szCs w:val="28"/>
          <w:highlight w:val="none"/>
        </w:rPr>
        <w:t>（五）不同投标人的投标文件相互混装；</w:t>
      </w:r>
      <w:bookmarkEnd w:id="28"/>
    </w:p>
    <w:p w14:paraId="46E0E812">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（六）不同投标人的投标保证金从同一单位或者个人的账户转出。</w:t>
      </w:r>
    </w:p>
    <w:p w14:paraId="23686AC2">
      <w:pPr>
        <w:spacing w:line="360" w:lineRule="auto"/>
        <w:ind w:firstLine="482" w:firstLineChars="200"/>
        <w:rPr>
          <w:rFonts w:ascii="宋体" w:hAnsi="宋体" w:eastAsia="宋体" w:cs="Times New Roman"/>
          <w:b/>
          <w:color w:val="auto"/>
          <w:sz w:val="24"/>
          <w:szCs w:val="28"/>
          <w:highlight w:val="none"/>
        </w:rPr>
      </w:pPr>
      <w:r>
        <w:rPr>
          <w:rFonts w:hint="eastAsia" w:ascii="宋体" w:hAnsi="宋体" w:eastAsia="宋体" w:cs="Times New Roman"/>
          <w:b/>
          <w:color w:val="auto"/>
          <w:sz w:val="24"/>
          <w:szCs w:val="28"/>
          <w:highlight w:val="none"/>
        </w:rPr>
        <w:t>4、《福建省财政厅关于电子化政府采购项目中视为串标情形认定与处理的指导意见》（闽财购〔2018〕30号</w:t>
      </w:r>
      <w:r>
        <w:rPr>
          <w:rFonts w:ascii="宋体" w:hAnsi="宋体" w:eastAsia="宋体" w:cs="Times New Roman"/>
          <w:b/>
          <w:color w:val="auto"/>
          <w:sz w:val="24"/>
          <w:szCs w:val="28"/>
          <w:highlight w:val="none"/>
        </w:rPr>
        <w:t>）</w:t>
      </w:r>
    </w:p>
    <w:p w14:paraId="793FF5B4">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一、电子化招标项目视为串通情形的认定 </w:t>
      </w:r>
    </w:p>
    <w:p w14:paraId="5E444FC6">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（一）保证金验核阶段 </w:t>
      </w:r>
    </w:p>
    <w:p w14:paraId="3EAD4805">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 xml:space="preserve">不同投标人的投标保证金转出账户的银行账户名称相同的，属于《政府采购货物和服务招标投标管理办法》（财政部令第87号）第三十七条第（六）项“不同投标人的投标保证金从同一单位或者个人的账户转出”的情形。 </w:t>
      </w:r>
    </w:p>
    <w:p w14:paraId="0E53E250">
      <w:pPr>
        <w:spacing w:line="360" w:lineRule="auto"/>
        <w:ind w:firstLine="480" w:firstLineChars="200"/>
        <w:rPr>
          <w:rFonts w:ascii="宋体" w:hAnsi="宋体" w:eastAsia="宋体" w:cs="Times New Roman"/>
          <w:color w:val="auto"/>
          <w:sz w:val="24"/>
          <w:szCs w:val="28"/>
          <w:highlight w:val="none"/>
        </w:rPr>
      </w:pPr>
      <w:bookmarkStart w:id="29" w:name="_Toc100307873"/>
      <w:r>
        <w:rPr>
          <w:rFonts w:hint="eastAsia" w:ascii="宋体" w:hAnsi="宋体" w:eastAsia="宋体" w:cs="Times New Roman"/>
          <w:color w:val="auto"/>
          <w:sz w:val="24"/>
          <w:szCs w:val="28"/>
          <w:highlight w:val="none"/>
        </w:rPr>
        <w:t>（二）电子响应文件解密阶段</w:t>
      </w:r>
      <w:bookmarkEnd w:id="29"/>
      <w:r>
        <w:rPr>
          <w:rFonts w:hint="eastAsia" w:ascii="宋体" w:hAnsi="宋体" w:eastAsia="宋体" w:cs="Times New Roman"/>
          <w:color w:val="auto"/>
          <w:sz w:val="24"/>
          <w:szCs w:val="28"/>
          <w:highlight w:val="none"/>
        </w:rPr>
        <w:t xml:space="preserve"> </w:t>
      </w:r>
    </w:p>
    <w:p w14:paraId="2FA3E6BA">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电子响应文件的个性特征与本采购项目的其他响应人存在雷同的，按照以下方式进行认定：</w:t>
      </w:r>
    </w:p>
    <w:p w14:paraId="1F2102AD">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206A6E6F">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7DEE4CFD">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01258439">
      <w:pPr>
        <w:spacing w:line="360" w:lineRule="auto"/>
        <w:ind w:firstLine="482" w:firstLineChars="200"/>
        <w:rPr>
          <w:rFonts w:hint="eastAsia" w:ascii="宋体" w:hAnsi="宋体" w:eastAsia="宋体" w:cs="Times New Roman"/>
          <w:b/>
          <w:color w:val="auto"/>
          <w:sz w:val="24"/>
          <w:szCs w:val="28"/>
          <w:highlight w:val="none"/>
        </w:rPr>
      </w:pPr>
    </w:p>
    <w:p w14:paraId="7C4632AC">
      <w:pPr>
        <w:spacing w:line="360" w:lineRule="auto"/>
        <w:ind w:firstLine="482" w:firstLineChars="20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二、后果</w:t>
      </w:r>
    </w:p>
    <w:p w14:paraId="140E19C6">
      <w:pPr>
        <w:spacing w:line="360" w:lineRule="auto"/>
        <w:ind w:firstLine="482" w:firstLineChars="200"/>
        <w:rPr>
          <w:rFonts w:ascii="宋体" w:hAnsi="宋体" w:eastAsia="宋体" w:cs="Times New Roman"/>
          <w:color w:val="auto"/>
          <w:sz w:val="24"/>
          <w:szCs w:val="28"/>
          <w:highlight w:val="none"/>
        </w:rPr>
      </w:pPr>
      <w:r>
        <w:rPr>
          <w:rFonts w:hint="eastAsia" w:ascii="宋体" w:hAnsi="宋体" w:eastAsia="宋体" w:cs="Times New Roman"/>
          <w:b/>
          <w:color w:val="auto"/>
          <w:sz w:val="24"/>
          <w:szCs w:val="28"/>
          <w:highlight w:val="none"/>
        </w:rPr>
        <w:t>1、《政府采购法》第七十七条</w:t>
      </w:r>
      <w:r>
        <w:rPr>
          <w:rFonts w:hint="eastAsia" w:ascii="宋体" w:hAnsi="宋体" w:eastAsia="宋体" w:cs="Times New Roman"/>
          <w:color w:val="auto"/>
          <w:sz w:val="24"/>
          <w:szCs w:val="28"/>
          <w:highlight w:val="none"/>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E1BF276">
      <w:pPr>
        <w:spacing w:line="360" w:lineRule="auto"/>
        <w:ind w:firstLine="480" w:firstLineChars="200"/>
        <w:rPr>
          <w:rFonts w:ascii="宋体" w:hAnsi="宋体" w:eastAsia="宋体" w:cs="Times New Roman"/>
          <w:color w:val="auto"/>
          <w:sz w:val="24"/>
          <w:szCs w:val="28"/>
          <w:highlight w:val="none"/>
        </w:rPr>
      </w:pPr>
      <w:bookmarkStart w:id="30" w:name="_Toc100307874"/>
      <w:r>
        <w:rPr>
          <w:rFonts w:hint="eastAsia" w:ascii="宋体" w:hAnsi="宋体" w:eastAsia="宋体" w:cs="Times New Roman"/>
          <w:color w:val="auto"/>
          <w:sz w:val="24"/>
          <w:szCs w:val="28"/>
          <w:highlight w:val="none"/>
        </w:rPr>
        <w:t>（三）与采购人、其他供应商或者采购代理机构恶意串通的；</w:t>
      </w:r>
      <w:bookmarkEnd w:id="30"/>
    </w:p>
    <w:p w14:paraId="42CE5B62">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供应商有前款第（一）至（五）项情形之一的，中标、成交无效。</w:t>
      </w:r>
    </w:p>
    <w:p w14:paraId="3C6D1F9E">
      <w:pPr>
        <w:spacing w:line="360" w:lineRule="auto"/>
        <w:ind w:firstLine="482" w:firstLineChars="200"/>
        <w:rPr>
          <w:rFonts w:ascii="宋体" w:hAnsi="宋体" w:eastAsia="宋体" w:cs="Times New Roman"/>
          <w:b/>
          <w:color w:val="auto"/>
          <w:sz w:val="24"/>
          <w:szCs w:val="28"/>
          <w:highlight w:val="none"/>
        </w:rPr>
      </w:pPr>
      <w:r>
        <w:rPr>
          <w:rFonts w:hint="eastAsia" w:ascii="宋体" w:hAnsi="宋体" w:eastAsia="宋体" w:cs="Times New Roman"/>
          <w:b/>
          <w:color w:val="auto"/>
          <w:sz w:val="24"/>
          <w:szCs w:val="28"/>
          <w:highlight w:val="none"/>
        </w:rPr>
        <w:t>2、《福建省财政厅关于电子化政府采购项目中视为串标情形认定与处理的指导意见》（闽财购〔2018〕30号</w:t>
      </w:r>
      <w:r>
        <w:rPr>
          <w:rFonts w:ascii="宋体" w:hAnsi="宋体" w:eastAsia="宋体" w:cs="Times New Roman"/>
          <w:b/>
          <w:color w:val="auto"/>
          <w:sz w:val="24"/>
          <w:szCs w:val="28"/>
          <w:highlight w:val="none"/>
        </w:rPr>
        <w:t>）</w:t>
      </w:r>
    </w:p>
    <w:p w14:paraId="4FC20519">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14:paraId="0A1F505F">
      <w:pPr>
        <w:spacing w:line="360" w:lineRule="auto"/>
        <w:ind w:firstLine="482" w:firstLineChars="20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三、虚假应标风险提示</w:t>
      </w:r>
    </w:p>
    <w:p w14:paraId="19DC6691">
      <w:pPr>
        <w:spacing w:line="360" w:lineRule="auto"/>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政府采购法第七十七条规定：“供 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对“提供虚假材料谋取中标的违法行为”的执法力度。相关行政处罚案件，供 应商可登陆中国政府采购网的“政府采购严重违法失信行为记录名单”查询，望引以为戒。</w:t>
      </w:r>
    </w:p>
    <w:p w14:paraId="35CF1124">
      <w:pPr>
        <w:pStyle w:val="3"/>
        <w:spacing w:beforeLines="100" w:afterLines="100" w:line="240" w:lineRule="auto"/>
        <w:jc w:val="left"/>
        <w:rPr>
          <w:rFonts w:ascii="黑体" w:hAnsi="黑体" w:eastAsia="黑体" w:cs="Times New Roman"/>
          <w:color w:val="auto"/>
          <w:kern w:val="0"/>
          <w:sz w:val="30"/>
          <w:highlight w:val="none"/>
        </w:rPr>
      </w:pPr>
      <w:bookmarkStart w:id="31" w:name="_Toc139103801"/>
      <w:r>
        <w:rPr>
          <w:rFonts w:ascii="黑体" w:hAnsi="黑体" w:eastAsia="黑体" w:cs="Times New Roman"/>
          <w:color w:val="auto"/>
          <w:kern w:val="0"/>
          <w:sz w:val="30"/>
          <w:highlight w:val="none"/>
        </w:rPr>
        <w:t>四、其他事项</w:t>
      </w:r>
      <w:bookmarkEnd w:id="31"/>
    </w:p>
    <w:p w14:paraId="626C7930">
      <w:pPr>
        <w:spacing w:line="360" w:lineRule="auto"/>
        <w:ind w:firstLine="480" w:firstLineChars="200"/>
        <w:rPr>
          <w:rFonts w:asciiTheme="minorEastAsia" w:hAnsiTheme="minorEastAsia"/>
          <w:color w:val="auto"/>
          <w:sz w:val="24"/>
          <w:szCs w:val="28"/>
          <w:highlight w:val="none"/>
        </w:rPr>
      </w:pPr>
      <w:r>
        <w:rPr>
          <w:rFonts w:asciiTheme="minorEastAsia" w:hAnsiTheme="minorEastAsia"/>
          <w:color w:val="auto"/>
          <w:sz w:val="24"/>
          <w:szCs w:val="28"/>
          <w:highlight w:val="none"/>
        </w:rPr>
        <w:t>1、除招标文件另有规定外，若出现有关法律、法规和规章有强制性规定但招标文件未列明的情形，则投标人应按照有关法律、法规和规章强制性规定执行。</w:t>
      </w:r>
    </w:p>
    <w:p w14:paraId="72F9C151">
      <w:pPr>
        <w:spacing w:line="360" w:lineRule="auto"/>
        <w:ind w:firstLine="480" w:firstLineChars="200"/>
        <w:rPr>
          <w:rFonts w:asciiTheme="minorEastAsia" w:hAnsiTheme="minorEastAsia"/>
          <w:color w:val="auto"/>
          <w:sz w:val="24"/>
          <w:szCs w:val="28"/>
          <w:highlight w:val="none"/>
        </w:rPr>
      </w:pPr>
      <w:r>
        <w:rPr>
          <w:rFonts w:asciiTheme="minorEastAsia" w:hAnsiTheme="minorEastAsia"/>
          <w:color w:val="auto"/>
          <w:sz w:val="24"/>
          <w:szCs w:val="28"/>
          <w:highlight w:val="none"/>
        </w:rPr>
        <w:t>2、其他：</w:t>
      </w:r>
    </w:p>
    <w:p w14:paraId="32315EA7">
      <w:pPr>
        <w:spacing w:line="360" w:lineRule="auto"/>
        <w:ind w:firstLine="480" w:firstLineChars="200"/>
        <w:rPr>
          <w:rFonts w:asciiTheme="minorEastAsia" w:hAnsiTheme="minorEastAsia"/>
          <w:color w:val="auto"/>
          <w:sz w:val="24"/>
          <w:szCs w:val="28"/>
          <w:highlight w:val="none"/>
        </w:rPr>
      </w:pPr>
      <w:r>
        <w:rPr>
          <w:rFonts w:asciiTheme="minorEastAsia" w:hAnsiTheme="minorEastAsia"/>
          <w:color w:val="auto"/>
          <w:sz w:val="24"/>
          <w:szCs w:val="28"/>
          <w:highlight w:val="none"/>
        </w:rPr>
        <w:t>详见其他商务要求中的“补充条款”。</w:t>
      </w:r>
    </w:p>
    <w:p w14:paraId="713E892B">
      <w:pPr>
        <w:rPr>
          <w:color w:val="auto"/>
          <w:highlight w:val="none"/>
        </w:rPr>
        <w:sectPr>
          <w:pgSz w:w="11906" w:h="16838"/>
          <w:pgMar w:top="1418" w:right="1418" w:bottom="1418" w:left="1418" w:header="851" w:footer="992" w:gutter="0"/>
          <w:cols w:space="425" w:num="1"/>
          <w:docGrid w:type="lines" w:linePitch="312" w:charSpace="0"/>
        </w:sectPr>
      </w:pPr>
    </w:p>
    <w:p w14:paraId="4B4BD606">
      <w:pPr>
        <w:pStyle w:val="2"/>
        <w:keepNext/>
        <w:keepLines/>
        <w:widowControl w:val="0"/>
        <w:spacing w:beforeLines="100" w:beforeAutospacing="0" w:afterLines="100" w:afterAutospacing="0"/>
        <w:jc w:val="center"/>
        <w:rPr>
          <w:rFonts w:ascii="黑体" w:hAnsi="黑体" w:eastAsia="黑体" w:cs="Times New Roman"/>
          <w:color w:val="auto"/>
          <w:kern w:val="0"/>
          <w:sz w:val="32"/>
          <w:szCs w:val="44"/>
          <w:highlight w:val="none"/>
        </w:rPr>
      </w:pPr>
      <w:bookmarkStart w:id="32" w:name="_Toc139103802"/>
      <w:r>
        <w:rPr>
          <w:rFonts w:ascii="黑体" w:hAnsi="黑体" w:eastAsia="黑体" w:cs="Times New Roman"/>
          <w:color w:val="auto"/>
          <w:kern w:val="0"/>
          <w:sz w:val="32"/>
          <w:szCs w:val="44"/>
          <w:highlight w:val="none"/>
        </w:rPr>
        <w:t>第六章</w:t>
      </w:r>
      <w:r>
        <w:rPr>
          <w:rFonts w:hint="eastAsia" w:ascii="黑体" w:hAnsi="黑体" w:eastAsia="黑体" w:cs="Times New Roman"/>
          <w:color w:val="auto"/>
          <w:kern w:val="0"/>
          <w:sz w:val="32"/>
          <w:szCs w:val="44"/>
          <w:highlight w:val="none"/>
        </w:rPr>
        <w:t xml:space="preserve">  </w:t>
      </w:r>
      <w:r>
        <w:rPr>
          <w:rFonts w:ascii="黑体" w:hAnsi="黑体" w:eastAsia="黑体" w:cs="Times New Roman"/>
          <w:color w:val="auto"/>
          <w:kern w:val="0"/>
          <w:sz w:val="32"/>
          <w:szCs w:val="44"/>
          <w:highlight w:val="none"/>
        </w:rPr>
        <w:t>政府采购合同</w:t>
      </w:r>
      <w:bookmarkEnd w:id="32"/>
    </w:p>
    <w:p w14:paraId="36A5C6B3">
      <w:pPr>
        <w:pStyle w:val="54"/>
        <w:widowControl w:val="0"/>
        <w:jc w:val="center"/>
        <w:rPr>
          <w:rFonts w:hint="default"/>
          <w:color w:val="auto"/>
          <w:highlight w:val="none"/>
        </w:rPr>
      </w:pPr>
      <w:r>
        <w:rPr>
          <w:b/>
          <w:color w:val="auto"/>
          <w:sz w:val="28"/>
          <w:highlight w:val="none"/>
        </w:rPr>
        <w:t>参考文本</w:t>
      </w:r>
    </w:p>
    <w:p w14:paraId="165E752B">
      <w:pPr>
        <w:rPr>
          <w:color w:val="auto"/>
          <w:highlight w:val="none"/>
        </w:rPr>
      </w:pPr>
    </w:p>
    <w:p w14:paraId="2EE5BD23">
      <w:pPr>
        <w:spacing w:line="360" w:lineRule="auto"/>
        <w:jc w:val="center"/>
        <w:rPr>
          <w:rFonts w:ascii="Times New Roman" w:hAnsi="Times New Roman" w:eastAsia="宋体" w:cs="Times New Roman"/>
          <w:color w:val="auto"/>
          <w:sz w:val="32"/>
          <w:szCs w:val="32"/>
          <w:highlight w:val="none"/>
        </w:rPr>
      </w:pPr>
    </w:p>
    <w:p w14:paraId="606D2BA5">
      <w:pPr>
        <w:spacing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政府采购货物买卖合同</w:t>
      </w:r>
    </w:p>
    <w:p w14:paraId="7D3A347B">
      <w:pPr>
        <w:spacing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（试行）</w:t>
      </w:r>
    </w:p>
    <w:p w14:paraId="11C03FD0">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b/>
          <w:color w:val="auto"/>
          <w:kern w:val="0"/>
          <w:sz w:val="28"/>
          <w:szCs w:val="28"/>
          <w:highlight w:val="none"/>
        </w:rPr>
        <w:t>项目名称：__________________________</w:t>
      </w:r>
    </w:p>
    <w:p w14:paraId="4E263BA9">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b/>
          <w:color w:val="auto"/>
          <w:kern w:val="0"/>
          <w:sz w:val="28"/>
          <w:szCs w:val="28"/>
          <w:highlight w:val="none"/>
        </w:rPr>
        <w:t>合同编号：__________________________</w:t>
      </w:r>
    </w:p>
    <w:p w14:paraId="4CBB09EF">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b/>
          <w:color w:val="auto"/>
          <w:kern w:val="0"/>
          <w:sz w:val="28"/>
          <w:szCs w:val="28"/>
          <w:highlight w:val="none"/>
        </w:rPr>
        <w:t>甲    方：__________________________</w:t>
      </w:r>
    </w:p>
    <w:p w14:paraId="0E6118C1">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b/>
          <w:color w:val="auto"/>
          <w:kern w:val="0"/>
          <w:sz w:val="28"/>
          <w:szCs w:val="28"/>
          <w:highlight w:val="none"/>
        </w:rPr>
        <w:t>乙    方：__________________________</w:t>
      </w:r>
    </w:p>
    <w:p w14:paraId="63312796">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b/>
          <w:color w:val="auto"/>
          <w:kern w:val="0"/>
          <w:sz w:val="28"/>
          <w:szCs w:val="28"/>
          <w:highlight w:val="none"/>
        </w:rPr>
        <w:t>签订时间：__________________________</w:t>
      </w:r>
    </w:p>
    <w:p w14:paraId="5F0B4BB6">
      <w:pPr>
        <w:spacing w:line="360" w:lineRule="auto"/>
        <w:jc w:val="left"/>
        <w:rPr>
          <w:rFonts w:ascii="宋体" w:hAnsi="宋体" w:eastAsia="宋体" w:cs="Times New Roman"/>
          <w:color w:val="auto"/>
          <w:kern w:val="0"/>
          <w:sz w:val="28"/>
          <w:szCs w:val="28"/>
          <w:highlight w:val="none"/>
        </w:rPr>
      </w:pPr>
      <w:r>
        <w:rPr>
          <w:rFonts w:ascii="宋体" w:hAnsi="宋体" w:eastAsia="宋体" w:cs="Times New Roman"/>
          <w:color w:val="auto"/>
          <w:kern w:val="0"/>
          <w:sz w:val="28"/>
          <w:szCs w:val="28"/>
          <w:highlight w:val="none"/>
        </w:rPr>
        <w:t xml:space="preserve"> </w:t>
      </w:r>
    </w:p>
    <w:p w14:paraId="4DA71910">
      <w:pPr>
        <w:spacing w:beforeLines="100" w:afterLines="100"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使用说明</w:t>
      </w:r>
    </w:p>
    <w:p w14:paraId="26F2302A">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1.本合同标准文本适用于购买现成货物的采购项目，不包括需要供应商定制开发、创新研发的货物采购项目。</w:t>
      </w:r>
    </w:p>
    <w:p w14:paraId="3606C1E9">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2.本合同标准文本为政府采购货物买卖合同编制提供参考，可以结合采购项目具体情况，对文本作必要的调整修订后使用。</w:t>
      </w:r>
    </w:p>
    <w:p w14:paraId="24FBB97B">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3.本合同标准文本各条款中，如涉及填写多家供应商、制造商，多种采购标的、分包主要内容等信息的，可根据采购项目具体情况添加信息项。</w:t>
      </w:r>
    </w:p>
    <w:p w14:paraId="50362B1B">
      <w:pPr>
        <w:spacing w:beforeLines="100" w:afterLines="100"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第一节</w:t>
      </w:r>
      <w:r>
        <w:rPr>
          <w:rFonts w:hint="eastAsia" w:ascii="Times New Roman" w:hAnsi="Times New Roman" w:eastAsia="宋体" w:cs="Times New Roman"/>
          <w:b/>
          <w:color w:val="auto"/>
          <w:sz w:val="32"/>
          <w:szCs w:val="32"/>
          <w:highlight w:val="none"/>
        </w:rPr>
        <w:t xml:space="preserve">  </w:t>
      </w:r>
      <w:r>
        <w:rPr>
          <w:rFonts w:ascii="Times New Roman" w:hAnsi="Times New Roman" w:eastAsia="宋体" w:cs="Times New Roman"/>
          <w:b/>
          <w:color w:val="auto"/>
          <w:sz w:val="32"/>
          <w:szCs w:val="32"/>
          <w:highlight w:val="none"/>
        </w:rPr>
        <w:t>政府采购合同协议书</w:t>
      </w:r>
    </w:p>
    <w:p w14:paraId="192B294E">
      <w:pPr>
        <w:spacing w:line="360" w:lineRule="auto"/>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甲方（全称）：___________________________（采购人、受采购人委托签订合同的单位或采购文件约定的合同甲方）</w:t>
      </w:r>
    </w:p>
    <w:p w14:paraId="1DF6FD77">
      <w:pPr>
        <w:spacing w:line="360" w:lineRule="auto"/>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乙方1（全称）：___________________________（供应商）</w:t>
      </w:r>
    </w:p>
    <w:p w14:paraId="408412C1">
      <w:pPr>
        <w:spacing w:line="360" w:lineRule="auto"/>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乙方2（全称）：_______________（联合体成员供应商或其他合同主体）（如有）</w:t>
      </w:r>
    </w:p>
    <w:p w14:paraId="15186474">
      <w:pPr>
        <w:spacing w:line="360" w:lineRule="auto"/>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乙方3（全称）：_______________（联合体成员供应商或其他合同主体）（如有）</w:t>
      </w:r>
    </w:p>
    <w:p w14:paraId="463D960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379D1DA0">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1.项目信息</w:t>
      </w:r>
    </w:p>
    <w:p w14:paraId="512064D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（1）采购项目名称：________________________</w:t>
      </w:r>
    </w:p>
    <w:p w14:paraId="16E40F6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 xml:space="preserve"> 采购项目编号：____________________________</w:t>
      </w:r>
    </w:p>
    <w:p w14:paraId="1F0583C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（2）采购计划编号：________________________</w:t>
      </w:r>
    </w:p>
    <w:p w14:paraId="4B2DADC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（3）项目内容：</w:t>
      </w:r>
    </w:p>
    <w:p w14:paraId="2233B8A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采购标的及数量（台/套/个/架/组等）：___________________</w:t>
      </w:r>
    </w:p>
    <w:p w14:paraId="386A6C0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品牌： ___________________ 规格型号：__________________</w:t>
      </w:r>
    </w:p>
    <w:p w14:paraId="10877E1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采购标的的技术要求、商务要求具体见附件。</w:t>
      </w:r>
    </w:p>
    <w:p w14:paraId="342C027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①涉及信息类产品，请填写该产品关键部件的品牌、型号：</w:t>
      </w:r>
    </w:p>
    <w:p w14:paraId="0AED07F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标的名称： ___________________</w:t>
      </w:r>
    </w:p>
    <w:p w14:paraId="2BA3737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关键部件： ____________品牌：____________型号： ________________</w:t>
      </w:r>
    </w:p>
    <w:p w14:paraId="28AF29B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关键部件： ____________品牌：____________型号： ________________</w:t>
      </w:r>
    </w:p>
    <w:p w14:paraId="626B537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关键部件： ____________品牌：____________型号： ________________</w:t>
      </w:r>
    </w:p>
    <w:p w14:paraId="374D276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（注：关键部件是指财政部会同有关部门发布的政府采购需求标准规定的需要通过国家有关部门指定的测评机构开展的安全可靠测评的软硬件，如CPU芯片、操作系统、数据库等。）</w:t>
      </w:r>
    </w:p>
    <w:p w14:paraId="6326C52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②涉及车辆采购，请填写是否属于新能源汽车：</w:t>
      </w:r>
    </w:p>
    <w:p w14:paraId="7F742DC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是，《政府采购品目分类目录》底级品目名称：_____数量：_____金额：_____</w:t>
      </w:r>
    </w:p>
    <w:p w14:paraId="299FA3F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否</w:t>
      </w:r>
    </w:p>
    <w:p w14:paraId="300876F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（4）政府采购组织形式：政府集中采购 部门集中采购 分散采购</w:t>
      </w:r>
    </w:p>
    <w:p w14:paraId="5BDCC3E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（5）政府采购方式：公开招标 邀请招标 竞争性谈判 竞争性磋商询价 单一来源 框架协议 其他：____________________</w:t>
      </w:r>
    </w:p>
    <w:p w14:paraId="2E07168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（6）中标（成交）采购标的制造商是否为中小企业：是否</w:t>
      </w:r>
    </w:p>
    <w:p w14:paraId="30E20A3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本合同是否为专门面向中小企业的采购合同（中小企业预留合同）：是否</w:t>
      </w:r>
    </w:p>
    <w:p w14:paraId="2051A3D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若本项目不专门面向中小企业采购，是否给予小微企业评审优惠：是否</w:t>
      </w:r>
    </w:p>
    <w:p w14:paraId="0F9725F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中标（成交）采购标的制造商是否为残疾人福利性单位：是否</w:t>
      </w:r>
    </w:p>
    <w:p w14:paraId="5096BFA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中标（成交）采购标的制造商是否为监狱企业：是否</w:t>
      </w:r>
    </w:p>
    <w:p w14:paraId="0666EED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（7）合同是否分包：是否</w:t>
      </w:r>
    </w:p>
    <w:p w14:paraId="08332E4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分包主要内容：________________________________________</w:t>
      </w:r>
    </w:p>
    <w:p w14:paraId="7ABB467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分包供应商/制造商名称（如供应商和制造商不同，请分别填写）：</w:t>
      </w:r>
    </w:p>
    <w:p w14:paraId="1A66501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________________________________________</w:t>
      </w:r>
    </w:p>
    <w:p w14:paraId="787BE79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分包供应商/制造商类型（如果供应商和制造商不同，只填写制造商类型）：</w:t>
      </w:r>
    </w:p>
    <w:p w14:paraId="05BF087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大型企业中型企业小微型企业</w:t>
      </w:r>
    </w:p>
    <w:p w14:paraId="31BF0FF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残疾人福利性单位监狱企业其他</w:t>
      </w:r>
    </w:p>
    <w:p w14:paraId="120C242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（8）中标（成交）供应商是否为外商投资企业：是否</w:t>
      </w:r>
    </w:p>
    <w:p w14:paraId="0296B2A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外商投资企业类型：全部由外国投资者投资部分由外国投资者投资</w:t>
      </w:r>
    </w:p>
    <w:p w14:paraId="04087BA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（9）是否涉及进口产品：</w:t>
      </w:r>
    </w:p>
    <w:p w14:paraId="5D9F656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是，《政府采购品目分类目录》底级品目名称：__________  金额：__________</w:t>
      </w:r>
    </w:p>
    <w:p w14:paraId="644DB04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国别：__________  品牌：__________  规格型号__________</w:t>
      </w:r>
    </w:p>
    <w:p w14:paraId="594BE6D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否</w:t>
      </w:r>
    </w:p>
    <w:p w14:paraId="39AAB40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（10）是否涉及节能产品：</w:t>
      </w:r>
    </w:p>
    <w:p w14:paraId="38E87BA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是，《节能产品政府采购品目清单》的底级品目名称：__________</w:t>
      </w:r>
    </w:p>
    <w:p w14:paraId="0216CA9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强制采购         优先采购</w:t>
      </w:r>
    </w:p>
    <w:p w14:paraId="40817A9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否</w:t>
      </w:r>
    </w:p>
    <w:p w14:paraId="51AE24A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是否涉及环境标志产品：</w:t>
      </w:r>
    </w:p>
    <w:p w14:paraId="18B40DD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是，《环境标志产品政府采购品目清单》的底级品目名称：__________</w:t>
      </w:r>
    </w:p>
    <w:p w14:paraId="45D0C1C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强制采购         优先采购</w:t>
      </w:r>
    </w:p>
    <w:p w14:paraId="122D0FF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否</w:t>
      </w:r>
    </w:p>
    <w:p w14:paraId="1860CEA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是否涉及绿色产品：</w:t>
      </w:r>
    </w:p>
    <w:p w14:paraId="093448B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是，绿色产品政府采购相关政策确定的底级品目名称：__________</w:t>
      </w:r>
    </w:p>
    <w:p w14:paraId="3F39D57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强制采购         优先采购</w:t>
      </w:r>
    </w:p>
    <w:p w14:paraId="1B61581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否</w:t>
      </w:r>
    </w:p>
    <w:p w14:paraId="6524260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（11）涉及商品包装和快递包装的，是否参考《商品包装政府采购需求标准（试行）》、《快递包装政府采购需求标准（试行）》明确产品及相关快递服务的具体包装要求：</w:t>
      </w:r>
    </w:p>
    <w:p w14:paraId="2C17F39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         否        不涉及</w:t>
      </w:r>
    </w:p>
    <w:p w14:paraId="2499D7DC">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2.合同金额</w:t>
      </w:r>
    </w:p>
    <w:p w14:paraId="3087923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（1）合同金额小写：____________________大写：____________________</w:t>
      </w:r>
    </w:p>
    <w:p w14:paraId="4AAF822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分包金额（如有）小写：____________________大写：____________________</w:t>
      </w:r>
    </w:p>
    <w:p w14:paraId="035CDDE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（注：固定单价合同应填写单价和最高限价）</w:t>
      </w:r>
    </w:p>
    <w:p w14:paraId="546A08A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（2）合同定价方式（采用组合定价方式的，可以勾选多项）：</w:t>
      </w:r>
    </w:p>
    <w:p w14:paraId="47BC65E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固定总价固定单价成本补偿绩效激励其他__________</w:t>
      </w:r>
    </w:p>
    <w:p w14:paraId="1947919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（3）付款方式（按项目实际勾选填写）：</w:t>
      </w:r>
    </w:p>
    <w:p w14:paraId="526BBBA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全额付款：_______（应明确一次性支付合同款项的条件）_____________</w:t>
      </w:r>
    </w:p>
    <w:p w14:paraId="3BFE87F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分期付款：_______（应明确分期支付合同款项的各期比例和支付条件，各期支付条件应与分期履约验收情况挂钩）_____________，其中涉及预付款的：_______ （应明确预付款的支付比例和支付条件）</w:t>
      </w:r>
    </w:p>
    <w:p w14:paraId="14684E6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成本补偿：_______（应明确按照成本补偿方式的支付方式和支付条件）___________</w:t>
      </w:r>
    </w:p>
    <w:p w14:paraId="1D757D6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绩效激励：_______（应明确按照绩效激励方式的支付方式和支付条件）_________</w:t>
      </w:r>
    </w:p>
    <w:p w14:paraId="39B89F2E">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3.合同履行</w:t>
      </w:r>
    </w:p>
    <w:p w14:paraId="79432F0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（1）起始日期：______年_____月_____日 ，完成日期：_____年____月____日。</w:t>
      </w:r>
    </w:p>
    <w:p w14:paraId="21E4589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（2）履约地点：____________________</w:t>
      </w:r>
    </w:p>
    <w:p w14:paraId="0EC506C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（3）履约担保：</w:t>
      </w:r>
    </w:p>
    <w:p w14:paraId="5B0A2D0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是否收取履约保证金：是 否</w:t>
      </w:r>
    </w:p>
    <w:p w14:paraId="3C1DFAE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收取履约保证金形式：____________________</w:t>
      </w:r>
    </w:p>
    <w:p w14:paraId="6253014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收取履约保证金金额：____________________</w:t>
      </w:r>
    </w:p>
    <w:p w14:paraId="15E770F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履约担保期限：____________________</w:t>
      </w:r>
    </w:p>
    <w:p w14:paraId="72A011F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履约担保期限：____________________</w:t>
      </w:r>
    </w:p>
    <w:p w14:paraId="4E8B449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（4）分期履行要求：____________________</w:t>
      </w:r>
    </w:p>
    <w:p w14:paraId="5C5488B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（5）风险处置措施和替代方案：____________________</w:t>
      </w:r>
    </w:p>
    <w:p w14:paraId="1862F7A4">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4.合同验收</w:t>
      </w:r>
    </w:p>
    <w:p w14:paraId="7BA188F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（1）验收组织方式：自行验收委托第三方验收</w:t>
      </w:r>
    </w:p>
    <w:p w14:paraId="6732571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验收主体：____________________</w:t>
      </w:r>
    </w:p>
    <w:p w14:paraId="02CD794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是否邀请本项目的其他供应商参加验收：是否</w:t>
      </w:r>
    </w:p>
    <w:p w14:paraId="16FB13D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是否邀请专家参加验收：是否</w:t>
      </w:r>
    </w:p>
    <w:p w14:paraId="09973C3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是否邀请服务对象参加验收：是否</w:t>
      </w:r>
    </w:p>
    <w:p w14:paraId="2A36C0C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是否邀请第三方检测机构参加验收：是否</w:t>
      </w:r>
    </w:p>
    <w:p w14:paraId="560BD56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是否进行抽查检测： 是，抽查比例：__________%否</w:t>
      </w:r>
    </w:p>
    <w:p w14:paraId="4096ADF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是否存在破坏性检测： 是，__________否</w:t>
      </w:r>
    </w:p>
    <w:p w14:paraId="03B00E0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验收组织的其他事项：____________________</w:t>
      </w:r>
    </w:p>
    <w:p w14:paraId="27F3077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（2）履约验收时间：计划于何时验收/供应商提出验收申请之日起_______日内组织验收</w:t>
      </w:r>
    </w:p>
    <w:p w14:paraId="5795393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（3）履约验收方式：一次性验收分期/分项验收：__________</w:t>
      </w:r>
    </w:p>
    <w:p w14:paraId="69892D5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（4）履约验收程序：____________________</w:t>
      </w:r>
    </w:p>
    <w:p w14:paraId="59B3C21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（5）履约验收的内容：_________（应当包括每一项技术和商务要求的履约情况，特别是落实政府采购扶持中小企业，支持绿色发展和乡村振兴等政策情况）___________</w:t>
      </w:r>
    </w:p>
    <w:p w14:paraId="1DC653B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（6）履约验收标准：_____________________________</w:t>
      </w:r>
    </w:p>
    <w:p w14:paraId="17D9AC9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（7）是否以采购活动中供应商提供的样品作为参考：是否</w:t>
      </w:r>
    </w:p>
    <w:p w14:paraId="51119CE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（8）履约验收其他事项：_______________</w:t>
      </w:r>
    </w:p>
    <w:p w14:paraId="74C2040A">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5.组成合同的文件</w:t>
      </w:r>
    </w:p>
    <w:p w14:paraId="4CD4090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本协议书与下列文件一起构成合同文件，如下述文件之间有任何抵触、矛盾或歧义，应按以下顺序解释：</w:t>
      </w:r>
    </w:p>
    <w:p w14:paraId="0A8AB81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（1）政府采购合同协议书及其变更、补充协议</w:t>
      </w:r>
    </w:p>
    <w:p w14:paraId="6736F68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（2）政府采购合同专用条款</w:t>
      </w:r>
    </w:p>
    <w:p w14:paraId="52A1781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（3）政府采购合同通用条款</w:t>
      </w:r>
    </w:p>
    <w:p w14:paraId="03C4837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（4）中标（成交）通知书</w:t>
      </w:r>
    </w:p>
    <w:p w14:paraId="287A945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（5）投标（响应）文件</w:t>
      </w:r>
    </w:p>
    <w:p w14:paraId="2A7D4C7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（6）采购文件</w:t>
      </w:r>
    </w:p>
    <w:p w14:paraId="7C67A58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（7）有关技术文件，图纸</w:t>
      </w:r>
    </w:p>
    <w:p w14:paraId="0E2E963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（8）国家法律、行政法规和规章制度规定或合同约定的作为合同组成部分的其他文件</w:t>
      </w:r>
    </w:p>
    <w:p w14:paraId="09AB80D4">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6.合同生效</w:t>
      </w:r>
    </w:p>
    <w:p w14:paraId="25E1DEB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本合同自____________________生效。</w:t>
      </w:r>
    </w:p>
    <w:p w14:paraId="54B04830">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7.合同份数</w:t>
      </w:r>
    </w:p>
    <w:p w14:paraId="31CA93B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本合同一式 _______ 份，甲方执 _______ 份，乙方执 _______ 份，均具有同等法律效力。</w:t>
      </w:r>
    </w:p>
    <w:p w14:paraId="0C9B346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合同订立时间：详见本合同封面的签订时间。</w:t>
      </w:r>
    </w:p>
    <w:p w14:paraId="65D7B89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合同订立地点： ____________________________</w:t>
      </w:r>
    </w:p>
    <w:p w14:paraId="440B493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附件：具体标的及其技术要求和商务要求、联合协议、分包意向协议等。</w:t>
      </w:r>
    </w:p>
    <w:p w14:paraId="28904A23">
      <w:pPr>
        <w:spacing w:line="360" w:lineRule="auto"/>
        <w:ind w:firstLine="480" w:firstLineChars="200"/>
        <w:jc w:val="left"/>
        <w:rPr>
          <w:rFonts w:ascii="宋体" w:hAnsi="宋体" w:eastAsia="宋体" w:cs="Times New Roman"/>
          <w:color w:val="auto"/>
          <w:kern w:val="0"/>
          <w:sz w:val="24"/>
          <w:szCs w:val="24"/>
          <w:highlight w:val="none"/>
        </w:rPr>
      </w:pPr>
    </w:p>
    <w:p w14:paraId="5ABD8FC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甲方（采购人、受采购人委托签订合同的单位或采购文件约定的合同甲方）</w:t>
      </w:r>
    </w:p>
    <w:p w14:paraId="5754407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单位名称（公章或合同章）： {{未填写}}（盖章）</w:t>
      </w:r>
    </w:p>
    <w:p w14:paraId="7421F88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法定代表人或其委托代理人（签章）：{{未填写}}</w:t>
      </w:r>
    </w:p>
    <w:p w14:paraId="2D53D8F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住 所：{{未填写}}</w:t>
      </w:r>
    </w:p>
    <w:p w14:paraId="215E154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联 系 人：{{未填写}}</w:t>
      </w:r>
    </w:p>
    <w:p w14:paraId="73648E8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联系电话：{{未填写}}</w:t>
      </w:r>
    </w:p>
    <w:p w14:paraId="6F83E33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通信地址：{{未填写}}</w:t>
      </w:r>
    </w:p>
    <w:p w14:paraId="670F53F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邮政编码：{{未填写}}</w:t>
      </w:r>
    </w:p>
    <w:p w14:paraId="4D873B9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电子邮箱：{{未填写}}</w:t>
      </w:r>
    </w:p>
    <w:p w14:paraId="71407DD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统一社会信用代码：{{未填写}}</w:t>
      </w:r>
    </w:p>
    <w:p w14:paraId="1E6698CF">
      <w:pPr>
        <w:ind w:firstLine="480"/>
        <w:jc w:val="left"/>
        <w:rPr>
          <w:rFonts w:ascii="Calibri" w:hAnsi="Calibri" w:eastAsia="宋体" w:cs="Times New Roman"/>
          <w:color w:val="auto"/>
          <w:kern w:val="0"/>
          <w:sz w:val="20"/>
          <w:szCs w:val="20"/>
          <w:highlight w:val="none"/>
        </w:rPr>
      </w:pPr>
      <w:r>
        <w:rPr>
          <w:rFonts w:ascii="Calibri" w:hAnsi="Calibri" w:eastAsia="宋体" w:cs="Times New Roman"/>
          <w:color w:val="auto"/>
          <w:kern w:val="0"/>
          <w:sz w:val="20"/>
          <w:szCs w:val="20"/>
          <w:highlight w:val="none"/>
        </w:rPr>
        <w:t xml:space="preserve"> </w:t>
      </w:r>
    </w:p>
    <w:p w14:paraId="228AF9DD">
      <w:pPr>
        <w:spacing w:beforeLines="100" w:afterLines="100"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第二节 政府采购合同通用条款</w:t>
      </w:r>
    </w:p>
    <w:p w14:paraId="741D809F">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 定义</w:t>
      </w:r>
    </w:p>
    <w:p w14:paraId="7B62262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1.1合同当事人</w:t>
      </w:r>
    </w:p>
    <w:p w14:paraId="0F746AE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（1）采购人（以下称甲方）是指使用财政性资金，通过政府采购方式向供应商购买货物及其相关服务的国家机关、事业单位、团体组织。</w:t>
      </w:r>
    </w:p>
    <w:p w14:paraId="57172BA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（2）供应商（以下称乙方）是指参加政府采购活动并且中标（成交），向采购人提供合同约定的货物及其相关服务的法人、非法人组织或者自然人。</w:t>
      </w:r>
    </w:p>
    <w:p w14:paraId="09169FE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（3）其他合同主体是指除采购人和供应商以外，依法参与合同缔结或履行，享有权利、承担义务的合同当事人。</w:t>
      </w:r>
    </w:p>
    <w:p w14:paraId="731D56A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1.2本合同下列术语应解释为：</w:t>
      </w:r>
    </w:p>
    <w:p w14:paraId="00A17B1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A75748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（2）“合同价款”系指根据本合同规定乙方在全面履行合同义务后甲方应支付给乙方的价款。</w:t>
      </w:r>
    </w:p>
    <w:p w14:paraId="3271408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（3）“货物”系指乙方根据本合同规定须向甲方提供的各种形态和种类的物品，包括原材料、设备、产品（包括软件）及相关的其备品备件、工具、手册及其他技术资料和材料等。</w:t>
      </w:r>
    </w:p>
    <w:p w14:paraId="50261A1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2906FE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76DAED6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w:t>
      </w:r>
    </w:p>
    <w:p w14:paraId="1D7B231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（7）其他术语解释，见</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w:t>
      </w:r>
    </w:p>
    <w:p w14:paraId="7E055F87">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2.合同标的及金额</w:t>
      </w:r>
    </w:p>
    <w:p w14:paraId="21ADDBC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2.1 合同标的及金额应与中标（成交）结果一致。乙方为履行本合同而发生的所有费用均应包含在合同价款中，甲方不再另行支付其他任何费用。</w:t>
      </w:r>
    </w:p>
    <w:p w14:paraId="3AD17F2C">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3. 履行合同的时间、地点和方式</w:t>
      </w:r>
    </w:p>
    <w:p w14:paraId="5946B9C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3.1 乙方应当在约定的时间、地点，按照约定方式履行合同。</w:t>
      </w:r>
    </w:p>
    <w:p w14:paraId="6BD3FE71">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4. 甲方的权利和义务</w:t>
      </w:r>
    </w:p>
    <w:p w14:paraId="3FCDA24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787E129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78396B1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4.3 甲方有权要求乙方对缺陷部分予以修复，并按合同约定享有货物保修及其他合同约定的权利。</w:t>
      </w:r>
    </w:p>
    <w:p w14:paraId="62897F1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4.4 甲方应当按照合同约定及时对交付的货物进行验收，未在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约定的期限内对乙方履约提出任何异议或者向乙方作出任何说明的，视为验收通过。</w:t>
      </w:r>
    </w:p>
    <w:p w14:paraId="4D4CD24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4.5 甲方应当根据合同约定及时向乙方支付合同价款，不得以内部人员变更、履行内部付款流程等为由，拒绝或迟延支付。</w:t>
      </w:r>
    </w:p>
    <w:p w14:paraId="3D55272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4.6 国家法律法规规定及</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约定应由甲方承担的其他义务和责任。</w:t>
      </w:r>
    </w:p>
    <w:p w14:paraId="357F8CF3">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5. 乙方的权利和义务</w:t>
      </w:r>
    </w:p>
    <w:p w14:paraId="1E873A2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5.1 签署合同后，乙方应确定项目负责人（或项目联系人），负责与本合同有关的事务。</w:t>
      </w:r>
    </w:p>
    <w:p w14:paraId="6D7B6E1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8D74FD7">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5.3乙方有权根据合同约定向甲方收取合同价款。</w:t>
      </w:r>
    </w:p>
    <w:p w14:paraId="3A5A493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5.4国家法律法规规定及</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约定应由乙方承担的其他义务和责任。</w:t>
      </w:r>
    </w:p>
    <w:p w14:paraId="791314E0">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6.合同履行</w:t>
      </w:r>
    </w:p>
    <w:p w14:paraId="78CB972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6.1 甲乙双方应当按照</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约定顺序履行合同义务；如果没有先后顺序的，应当同时履行。</w:t>
      </w:r>
    </w:p>
    <w:p w14:paraId="78306B2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5D56C5D5">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7. 货物包装、运输、保险和交付要求</w:t>
      </w:r>
    </w:p>
    <w:p w14:paraId="315E977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7.1 本合同涉及商品包装、快递包装的，除</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另有约定外，包装应适应远距离运输、防潮、防震、防锈和防野蛮装卸等要求，确保货物安全无损地运抵</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约定的指定现场。</w:t>
      </w:r>
    </w:p>
    <w:p w14:paraId="0C55190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7.2 除</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另有约定外，乙方负责办理将货物运抵本合同规定的交货地点，并装卸、交付至甲方的一切运输事项，相关费用应包含在合同价款中。</w:t>
      </w:r>
    </w:p>
    <w:p w14:paraId="5A4D625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7.3 货物保险要求按</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规定执行。</w:t>
      </w:r>
    </w:p>
    <w:p w14:paraId="609840D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6EB297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7.5 乙方在运输到达之前应提前通知甲方，并提示货物运输装卸的注意事项，甲方配合乙方做好货物的接收工作。</w:t>
      </w:r>
    </w:p>
    <w:p w14:paraId="7411093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7.6 如因包装、运输问题导致货物损毁、丢失或者品质下降，甲方有权要求降价、换货、拒收部分或整批货物，由此产生的费用和损失，均由乙方承担。</w:t>
      </w:r>
    </w:p>
    <w:p w14:paraId="45D898FD">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8. 质量标准和保证</w:t>
      </w:r>
    </w:p>
    <w:p w14:paraId="4E0A35E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8.1 质量标准</w:t>
      </w:r>
    </w:p>
    <w:p w14:paraId="4F746ED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59D6C6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（2）采用中华人民共和国法定计量单位。</w:t>
      </w:r>
    </w:p>
    <w:p w14:paraId="6E8E460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（3）乙方所提供的货物应符合国家有关安全、环保、卫生的规定。</w:t>
      </w:r>
    </w:p>
    <w:p w14:paraId="636416D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3E904AC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8.2 保证</w:t>
      </w:r>
    </w:p>
    <w:p w14:paraId="69B850D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6431FEC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（2）在质量保证期内所发现的缺陷，甲方应尽快以书面形式通知乙方。</w:t>
      </w:r>
    </w:p>
    <w:p w14:paraId="2A48A48E">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（3）乙方收到通知后，应在【政府采购合同专用条款】规定的响应时间内以合理的速度免费维修或更换有缺陷的货物或部件。</w:t>
      </w:r>
    </w:p>
    <w:p w14:paraId="7B67FD7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18EB60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（5）乙方在约定的时间内未能弥补缺陷，甲方可采取必要的补救措施，但其风险和费用将由乙方承担，甲方根据合同约定对乙方行使的其他权利不受影响。</w:t>
      </w:r>
    </w:p>
    <w:p w14:paraId="18B98FE8">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9. 权利瑕疵担保</w:t>
      </w:r>
    </w:p>
    <w:p w14:paraId="1D0C09A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9.1 乙方保证对其出售的货物享有合法的权利。</w:t>
      </w:r>
    </w:p>
    <w:p w14:paraId="76D72B4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9.2 乙方保证在交付的货物上不存在抵押权等担保物权。</w:t>
      </w:r>
    </w:p>
    <w:p w14:paraId="0AACB4D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9.3 如甲方使用上述货物构成对第三人侵权的，则由乙方承担全部责任。</w:t>
      </w:r>
    </w:p>
    <w:p w14:paraId="2E8F7083">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10. 知识产权保护</w:t>
      </w:r>
    </w:p>
    <w:p w14:paraId="4A4206A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397EE233">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11. 保密义务</w:t>
      </w:r>
    </w:p>
    <w:p w14:paraId="3D1FC09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中约定。</w:t>
      </w:r>
    </w:p>
    <w:p w14:paraId="2A564D08">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12. 合同价款支付</w:t>
      </w:r>
    </w:p>
    <w:p w14:paraId="1C727BC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12.1 合同价款支付按照国库集中支付制度及财政管理相关规定执行。</w:t>
      </w:r>
    </w:p>
    <w:p w14:paraId="0D64F63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中约定。</w:t>
      </w:r>
    </w:p>
    <w:p w14:paraId="34234345">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13. 履约保证金</w:t>
      </w:r>
    </w:p>
    <w:p w14:paraId="3AF3EF5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13.1 乙方应当以支票、汇票、本票或者金融机构、担保机构出具的保函等非现金形式提交。</w:t>
      </w:r>
    </w:p>
    <w:p w14:paraId="79872B2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13.2 如果乙方出现</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59A4F12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13.3 甲方在项目通过验收后按照</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规定的时间内将履约保证金退还乙方；逾期退还的，乙方可要求甲方支付违约金，违约金按照</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规定支付。</w:t>
      </w:r>
    </w:p>
    <w:p w14:paraId="21827C6B">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14. 售后服务</w:t>
      </w:r>
    </w:p>
    <w:p w14:paraId="322F5260">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14.1 除项目不涉及或采购活动中明确约定无须承担外，乙方还应提供下列服务：</w:t>
      </w:r>
    </w:p>
    <w:p w14:paraId="0C217EAF">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（1）货物的现场移动、安装、调试、启动监督及技术支持；</w:t>
      </w:r>
    </w:p>
    <w:p w14:paraId="5AF8BED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（2）提供货物组装和维修所需的专用工具和辅助材料；</w:t>
      </w:r>
    </w:p>
    <w:p w14:paraId="069AF54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约定的期限内对所有的货物实施运行监督、维修，但前提条件是该服务并不能免除乙方在质量保证期内所承担的义务；</w:t>
      </w:r>
    </w:p>
    <w:p w14:paraId="7DF3F88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（4）在制造商所在地或指定现场就货物的安装、启动、运营、维护、废弃处置等对甲方操作人员进行培训；</w:t>
      </w:r>
    </w:p>
    <w:p w14:paraId="25929B1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（5）依照法律、行政法规的规定或者按照</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约定，货物在有效使用年限届满后应予回收的，乙方负有自行或者委托第三人对货物予以回收的义务；</w:t>
      </w:r>
    </w:p>
    <w:p w14:paraId="695B869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（6）</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规定由乙方提供的其他服务。</w:t>
      </w:r>
    </w:p>
    <w:p w14:paraId="724DD05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14.2 乙方提供的售后服务的费用已包含在合同价款中，甲方不再另行支付。</w:t>
      </w:r>
    </w:p>
    <w:p w14:paraId="1FEC42B6">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15. 违约责任</w:t>
      </w:r>
    </w:p>
    <w:p w14:paraId="6DD44A4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15.1质量瑕疵的违约责任</w:t>
      </w:r>
    </w:p>
    <w:p w14:paraId="4394041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乙方提供的产品不符合合同约定的质量标准或存在产品质量缺陷，甲方有权要求乙方根据</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要求及时修理、重作、更换，并承担由此给甲方造成的损失。</w:t>
      </w:r>
    </w:p>
    <w:p w14:paraId="4496757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15.2 迟延交货的违约责任</w:t>
      </w:r>
    </w:p>
    <w:p w14:paraId="1FBBE8E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D7E9C6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（2）如果乙方没有按照合同规定的时间交货和提供相关服务，甲方有权从货款中扣除误期赔偿费而不影响合同项下的其他补救方法，赔偿费按</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规定执行。如果涉及公共利益，且赔偿金额无法弥补公共利益损失，甲方可要求继续履行或者采取其他补救措施。</w:t>
      </w:r>
    </w:p>
    <w:p w14:paraId="27BDC5D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15.3 迟延支付的违约责任</w:t>
      </w:r>
    </w:p>
    <w:p w14:paraId="7C873D3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甲方存在迟延支付乙方合同款项的，应当承担</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规定的逾期付款利息。</w:t>
      </w:r>
    </w:p>
    <w:p w14:paraId="177FA8B5">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15.4其他违约责任根据项目实际需要按</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规定执行。</w:t>
      </w:r>
    </w:p>
    <w:p w14:paraId="64991434">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16.合同变更、中止与终止</w:t>
      </w:r>
    </w:p>
    <w:p w14:paraId="4B7E05D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16.1合同的变更</w:t>
      </w:r>
    </w:p>
    <w:p w14:paraId="22B9AC7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政府采购合同履行中，在不改变合同其他条款的前提下，甲方可以在合同价款10%的范围内追加与合同标的相同的货物，并就此与乙方协商一致后签订补充协议。</w:t>
      </w:r>
    </w:p>
    <w:p w14:paraId="4EAC45D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16.2合同的中止</w:t>
      </w:r>
    </w:p>
    <w:p w14:paraId="651320A4">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（1）合同履行过程中因供应商就采购文件、采购过程或结果提起投诉的，甲方认为有必要的，可以中止合同的履行。</w:t>
      </w:r>
    </w:p>
    <w:p w14:paraId="38262E9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FC82BE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D388AB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（4）甲方不得以行政区划调整、政府换届、机构或者职能调整以及相关责任人更替为由中止合同。</w:t>
      </w:r>
    </w:p>
    <w:p w14:paraId="2B7D51F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16.3合同的终止</w:t>
      </w:r>
    </w:p>
    <w:p w14:paraId="48E8B29D">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（1）合同因有效期限届满而终止；</w:t>
      </w:r>
    </w:p>
    <w:p w14:paraId="1A9D08D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（2）乙方未按合同约定履行，构成根本性违约的，甲方有权终止合同，并追究乙方的违约责任。</w:t>
      </w:r>
    </w:p>
    <w:p w14:paraId="1FA8093C">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16.4 涉及国家利益、社会公共利益的情形</w:t>
      </w:r>
    </w:p>
    <w:p w14:paraId="3894BFE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773E01FC">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17. 合同分包</w:t>
      </w:r>
    </w:p>
    <w:p w14:paraId="37D0ABC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17.1 乙方不得将合同转包给其他供应商。涉及合同分包的，乙方应根据采购文件和投标（响应）文件规定进行合同分包。</w:t>
      </w:r>
    </w:p>
    <w:p w14:paraId="69CA443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17.2 乙方执行政府采购政策向中小企业依法分包的，乙方应当按采购文件和投标（响应）文件签订分包意向协议，分包意向协议属于本合同组成部分。</w:t>
      </w:r>
    </w:p>
    <w:p w14:paraId="472614D7">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18. 不可抗力</w:t>
      </w:r>
    </w:p>
    <w:p w14:paraId="60E71636">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18.1 不可抗力是指合同双方不能预见、不能避免且不能克服的客观情况。</w:t>
      </w:r>
    </w:p>
    <w:p w14:paraId="5717CE5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18.2 任何一方对由于不可抗力造成的部分或全部不能履行合同不承担违约责任。但迟延履行后发生不可抗力的，不能免除责任。</w:t>
      </w:r>
    </w:p>
    <w:p w14:paraId="2D01A14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7F37154">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19. 解决争议的方法</w:t>
      </w:r>
    </w:p>
    <w:p w14:paraId="618FE4E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75D233A">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19.2 选择仲裁的，应在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中明确仲裁机构及仲裁地；通过诉讼方式解决的，可以在</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中进一步约定选择与争议有实际联系的地点的人民法院管辖，但管辖法院的约定不得违反级别管辖和专属管辖的规定。</w:t>
      </w:r>
    </w:p>
    <w:p w14:paraId="0A87595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19.3 如甲乙双方有争议的事项不影响合同其他部分的履行，在争议解决期间，合同其他部分应当继续履行。</w:t>
      </w:r>
    </w:p>
    <w:p w14:paraId="1ED50A5D">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20. 政府采购政策</w:t>
      </w:r>
    </w:p>
    <w:p w14:paraId="02163B81">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20.1 本合同应当按照规定执行政府采购政策。</w:t>
      </w:r>
    </w:p>
    <w:p w14:paraId="08CBC5F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15D6ED7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59DE9FA">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21. 法律适用</w:t>
      </w:r>
    </w:p>
    <w:p w14:paraId="42965322">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21.1 本合同的订立、生效、解释、履行及与本合同有关的争议解决，均适用法律、行政法规。</w:t>
      </w:r>
    </w:p>
    <w:p w14:paraId="1DA1C439">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21.2 本合同条款与法律、行政法规的强制性规定不一致的，双方当事人应按照法律、行政法规的强制性规定修改本合同的相关条款。</w:t>
      </w:r>
    </w:p>
    <w:p w14:paraId="6626A851">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22. 通知</w:t>
      </w:r>
    </w:p>
    <w:p w14:paraId="28258EEB">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22.1 本合同任何一方向对方发出的通知、信件、数据电文等，应当发送至本合同第一部分《政府采购合同协议书》所约定的通讯地址、联系人、联系电话或电子邮箱。</w:t>
      </w:r>
    </w:p>
    <w:p w14:paraId="15E26BD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63C9719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22.3本合同一方给另一方的通知均应采用书面形式，传真或快递送到本合同中规定的对方的地址和办理签收手续。</w:t>
      </w:r>
    </w:p>
    <w:p w14:paraId="36E73993">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22.4通知以送达之日或通知书中规定的生效之日起生效，两者中以较迟之日为准。</w:t>
      </w:r>
    </w:p>
    <w:p w14:paraId="750F4786">
      <w:pPr>
        <w:spacing w:line="360" w:lineRule="auto"/>
        <w:ind w:firstLine="482" w:firstLineChars="200"/>
        <w:jc w:val="left"/>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23.合同未尽事项</w:t>
      </w:r>
    </w:p>
    <w:p w14:paraId="181E6F88">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23.1合同未尽事项见</w:t>
      </w:r>
      <w:r>
        <w:rPr>
          <w:rFonts w:ascii="宋体" w:hAnsi="宋体" w:eastAsia="宋体" w:cs="Times New Roman"/>
          <w:b/>
          <w:color w:val="auto"/>
          <w:kern w:val="0"/>
          <w:sz w:val="24"/>
          <w:szCs w:val="24"/>
          <w:highlight w:val="none"/>
        </w:rPr>
        <w:t>【政府采购合同专用条款】</w:t>
      </w:r>
      <w:r>
        <w:rPr>
          <w:rFonts w:ascii="宋体" w:hAnsi="宋体" w:eastAsia="宋体" w:cs="Times New Roman"/>
          <w:color w:val="auto"/>
          <w:kern w:val="0"/>
          <w:sz w:val="24"/>
          <w:szCs w:val="24"/>
          <w:highlight w:val="none"/>
        </w:rPr>
        <w:t>。</w:t>
      </w:r>
    </w:p>
    <w:p w14:paraId="6B17C2A2">
      <w:pPr>
        <w:spacing w:line="360" w:lineRule="auto"/>
        <w:ind w:firstLine="480" w:firstLineChars="200"/>
        <w:jc w:val="left"/>
        <w:rPr>
          <w:rFonts w:ascii="Calibri" w:hAnsi="Calibri" w:eastAsia="宋体" w:cs="Times New Roman"/>
          <w:color w:val="auto"/>
          <w:kern w:val="0"/>
          <w:sz w:val="20"/>
          <w:szCs w:val="20"/>
          <w:highlight w:val="none"/>
        </w:rPr>
      </w:pPr>
      <w:r>
        <w:rPr>
          <w:rFonts w:ascii="宋体" w:hAnsi="宋体" w:eastAsia="宋体" w:cs="Times New Roman"/>
          <w:color w:val="auto"/>
          <w:kern w:val="0"/>
          <w:sz w:val="24"/>
          <w:szCs w:val="24"/>
          <w:highlight w:val="none"/>
        </w:rPr>
        <w:t>23.2 合同附件与合同正文具有同等的法律效力。</w:t>
      </w:r>
    </w:p>
    <w:p w14:paraId="708B6BDB">
      <w:pPr>
        <w:spacing w:beforeLines="100" w:afterLines="100" w:line="360" w:lineRule="auto"/>
        <w:jc w:val="cente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第三节</w:t>
      </w:r>
      <w:r>
        <w:rPr>
          <w:rFonts w:hint="eastAsia" w:ascii="Times New Roman" w:hAnsi="Times New Roman" w:eastAsia="宋体" w:cs="Times New Roman"/>
          <w:b/>
          <w:color w:val="auto"/>
          <w:sz w:val="32"/>
          <w:szCs w:val="32"/>
          <w:highlight w:val="none"/>
        </w:rPr>
        <w:t xml:space="preserve">  </w:t>
      </w:r>
      <w:r>
        <w:rPr>
          <w:rFonts w:ascii="Times New Roman" w:hAnsi="Times New Roman" w:eastAsia="宋体" w:cs="Times New Roman"/>
          <w:b/>
          <w:color w:val="auto"/>
          <w:sz w:val="32"/>
          <w:szCs w:val="32"/>
          <w:highlight w:val="none"/>
        </w:rPr>
        <w:t>政府采购合同专用条款</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3295"/>
      </w:tblGrid>
      <w:tr w14:paraId="3A4AB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66A0E2A9">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第1.2（6）项</w:t>
            </w:r>
          </w:p>
        </w:tc>
        <w:tc>
          <w:tcPr>
            <w:tcW w:w="2769" w:type="dxa"/>
            <w:vAlign w:val="center"/>
          </w:tcPr>
          <w:p w14:paraId="470A509A">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联合体具体要求</w:t>
            </w:r>
          </w:p>
        </w:tc>
        <w:tc>
          <w:tcPr>
            <w:tcW w:w="3295" w:type="dxa"/>
            <w:vAlign w:val="center"/>
          </w:tcPr>
          <w:p w14:paraId="03378AC4">
            <w:pPr>
              <w:spacing w:line="360" w:lineRule="auto"/>
              <w:rPr>
                <w:rFonts w:ascii="宋体" w:hAnsi="宋体" w:eastAsia="宋体" w:cs="Times New Roman"/>
                <w:color w:val="auto"/>
                <w:kern w:val="0"/>
                <w:sz w:val="24"/>
                <w:szCs w:val="24"/>
                <w:highlight w:val="none"/>
              </w:rPr>
            </w:pPr>
          </w:p>
        </w:tc>
      </w:tr>
      <w:tr w14:paraId="1F58B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6124D6CB">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第1.2（7）项</w:t>
            </w:r>
          </w:p>
        </w:tc>
        <w:tc>
          <w:tcPr>
            <w:tcW w:w="2769" w:type="dxa"/>
            <w:vAlign w:val="center"/>
          </w:tcPr>
          <w:p w14:paraId="7256F0E6">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其他术语解释</w:t>
            </w:r>
          </w:p>
        </w:tc>
        <w:tc>
          <w:tcPr>
            <w:tcW w:w="3295" w:type="dxa"/>
            <w:vAlign w:val="center"/>
          </w:tcPr>
          <w:p w14:paraId="48C71101">
            <w:pPr>
              <w:spacing w:line="360" w:lineRule="auto"/>
              <w:rPr>
                <w:rFonts w:ascii="宋体" w:hAnsi="宋体" w:eastAsia="宋体" w:cs="Times New Roman"/>
                <w:color w:val="auto"/>
                <w:kern w:val="0"/>
                <w:sz w:val="24"/>
                <w:szCs w:val="24"/>
                <w:highlight w:val="none"/>
              </w:rPr>
            </w:pPr>
          </w:p>
        </w:tc>
      </w:tr>
      <w:tr w14:paraId="0B086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4F6B576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第4.4款</w:t>
            </w:r>
          </w:p>
        </w:tc>
        <w:tc>
          <w:tcPr>
            <w:tcW w:w="2769" w:type="dxa"/>
            <w:vAlign w:val="center"/>
          </w:tcPr>
          <w:p w14:paraId="2BCE17B2">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履约验收中甲方提出异议或作出说明的期限</w:t>
            </w:r>
          </w:p>
        </w:tc>
        <w:tc>
          <w:tcPr>
            <w:tcW w:w="3295" w:type="dxa"/>
            <w:vAlign w:val="center"/>
          </w:tcPr>
          <w:p w14:paraId="14DE6A6D">
            <w:pPr>
              <w:spacing w:line="360" w:lineRule="auto"/>
              <w:rPr>
                <w:rFonts w:ascii="宋体" w:hAnsi="宋体" w:eastAsia="宋体" w:cs="Times New Roman"/>
                <w:color w:val="auto"/>
                <w:kern w:val="0"/>
                <w:sz w:val="24"/>
                <w:szCs w:val="24"/>
                <w:highlight w:val="none"/>
              </w:rPr>
            </w:pPr>
          </w:p>
        </w:tc>
      </w:tr>
      <w:tr w14:paraId="30867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7EA99191">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第4.6款</w:t>
            </w:r>
          </w:p>
        </w:tc>
        <w:tc>
          <w:tcPr>
            <w:tcW w:w="2769" w:type="dxa"/>
            <w:vAlign w:val="center"/>
          </w:tcPr>
          <w:p w14:paraId="07396E02">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约定甲方承担的其他义务和责任</w:t>
            </w:r>
          </w:p>
        </w:tc>
        <w:tc>
          <w:tcPr>
            <w:tcW w:w="3295" w:type="dxa"/>
            <w:vAlign w:val="center"/>
          </w:tcPr>
          <w:p w14:paraId="5DE94503">
            <w:pPr>
              <w:spacing w:line="360" w:lineRule="auto"/>
              <w:rPr>
                <w:rFonts w:ascii="宋体" w:hAnsi="宋体" w:eastAsia="宋体" w:cs="Times New Roman"/>
                <w:color w:val="auto"/>
                <w:kern w:val="0"/>
                <w:sz w:val="24"/>
                <w:szCs w:val="24"/>
                <w:highlight w:val="none"/>
              </w:rPr>
            </w:pPr>
          </w:p>
        </w:tc>
      </w:tr>
      <w:tr w14:paraId="2E178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6C4EE32D">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第5.4款</w:t>
            </w:r>
          </w:p>
        </w:tc>
        <w:tc>
          <w:tcPr>
            <w:tcW w:w="2769" w:type="dxa"/>
            <w:vAlign w:val="center"/>
          </w:tcPr>
          <w:p w14:paraId="2795E607">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约定乙方承担的其他义务和责任</w:t>
            </w:r>
          </w:p>
        </w:tc>
        <w:tc>
          <w:tcPr>
            <w:tcW w:w="3295" w:type="dxa"/>
            <w:vAlign w:val="center"/>
          </w:tcPr>
          <w:p w14:paraId="5996D305">
            <w:pPr>
              <w:spacing w:line="360" w:lineRule="auto"/>
              <w:rPr>
                <w:rFonts w:ascii="宋体" w:hAnsi="宋体" w:eastAsia="宋体" w:cs="Times New Roman"/>
                <w:color w:val="auto"/>
                <w:kern w:val="0"/>
                <w:sz w:val="24"/>
                <w:szCs w:val="24"/>
                <w:highlight w:val="none"/>
              </w:rPr>
            </w:pPr>
          </w:p>
        </w:tc>
      </w:tr>
      <w:tr w14:paraId="04112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6ABD6089">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第6.1款</w:t>
            </w:r>
          </w:p>
        </w:tc>
        <w:tc>
          <w:tcPr>
            <w:tcW w:w="2769" w:type="dxa"/>
            <w:vAlign w:val="center"/>
          </w:tcPr>
          <w:p w14:paraId="3A4BA0CA">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履行合同义务的顺序</w:t>
            </w:r>
          </w:p>
        </w:tc>
        <w:tc>
          <w:tcPr>
            <w:tcW w:w="3295" w:type="dxa"/>
            <w:vAlign w:val="center"/>
          </w:tcPr>
          <w:p w14:paraId="6BFB24A6">
            <w:pPr>
              <w:spacing w:line="360" w:lineRule="auto"/>
              <w:rPr>
                <w:rFonts w:ascii="宋体" w:hAnsi="宋体" w:eastAsia="宋体" w:cs="Times New Roman"/>
                <w:color w:val="auto"/>
                <w:kern w:val="0"/>
                <w:sz w:val="24"/>
                <w:szCs w:val="24"/>
                <w:highlight w:val="none"/>
              </w:rPr>
            </w:pPr>
          </w:p>
        </w:tc>
      </w:tr>
      <w:tr w14:paraId="48097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Merge w:val="restart"/>
            <w:vAlign w:val="center"/>
          </w:tcPr>
          <w:p w14:paraId="7ED51180">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第7.1款</w:t>
            </w:r>
          </w:p>
        </w:tc>
        <w:tc>
          <w:tcPr>
            <w:tcW w:w="2769" w:type="dxa"/>
            <w:vAlign w:val="center"/>
          </w:tcPr>
          <w:p w14:paraId="0D923B0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包装特殊要求</w:t>
            </w:r>
          </w:p>
        </w:tc>
        <w:tc>
          <w:tcPr>
            <w:tcW w:w="3295" w:type="dxa"/>
            <w:vAlign w:val="center"/>
          </w:tcPr>
          <w:p w14:paraId="16D6241B">
            <w:pPr>
              <w:spacing w:line="360" w:lineRule="auto"/>
              <w:rPr>
                <w:rFonts w:ascii="宋体" w:hAnsi="宋体" w:eastAsia="宋体" w:cs="Times New Roman"/>
                <w:color w:val="auto"/>
                <w:kern w:val="0"/>
                <w:sz w:val="24"/>
                <w:szCs w:val="24"/>
                <w:highlight w:val="none"/>
              </w:rPr>
            </w:pPr>
          </w:p>
        </w:tc>
      </w:tr>
      <w:tr w14:paraId="56FD9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Merge w:val="continue"/>
            <w:vAlign w:val="center"/>
          </w:tcPr>
          <w:p w14:paraId="768211FB">
            <w:pPr>
              <w:spacing w:line="360" w:lineRule="auto"/>
              <w:rPr>
                <w:rFonts w:ascii="宋体" w:hAnsi="宋体" w:eastAsia="宋体" w:cs="Times New Roman"/>
                <w:color w:val="auto"/>
                <w:sz w:val="24"/>
                <w:szCs w:val="24"/>
                <w:highlight w:val="none"/>
              </w:rPr>
            </w:pPr>
          </w:p>
        </w:tc>
        <w:tc>
          <w:tcPr>
            <w:tcW w:w="2769" w:type="dxa"/>
            <w:vAlign w:val="center"/>
          </w:tcPr>
          <w:p w14:paraId="06B810AD">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指定现场</w:t>
            </w:r>
          </w:p>
        </w:tc>
        <w:tc>
          <w:tcPr>
            <w:tcW w:w="3295" w:type="dxa"/>
            <w:vAlign w:val="center"/>
          </w:tcPr>
          <w:p w14:paraId="48FDFC04">
            <w:pPr>
              <w:spacing w:line="360" w:lineRule="auto"/>
              <w:rPr>
                <w:rFonts w:ascii="宋体" w:hAnsi="宋体" w:eastAsia="宋体" w:cs="Times New Roman"/>
                <w:color w:val="auto"/>
                <w:kern w:val="0"/>
                <w:sz w:val="24"/>
                <w:szCs w:val="24"/>
                <w:highlight w:val="none"/>
              </w:rPr>
            </w:pPr>
          </w:p>
        </w:tc>
      </w:tr>
      <w:tr w14:paraId="32E59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2C3584A2">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第7.2款</w:t>
            </w:r>
          </w:p>
        </w:tc>
        <w:tc>
          <w:tcPr>
            <w:tcW w:w="2769" w:type="dxa"/>
            <w:vAlign w:val="center"/>
          </w:tcPr>
          <w:p w14:paraId="3E612D12">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运输特殊要求</w:t>
            </w:r>
          </w:p>
        </w:tc>
        <w:tc>
          <w:tcPr>
            <w:tcW w:w="3295" w:type="dxa"/>
            <w:vAlign w:val="center"/>
          </w:tcPr>
          <w:p w14:paraId="54BA597C">
            <w:pPr>
              <w:spacing w:line="360" w:lineRule="auto"/>
              <w:rPr>
                <w:rFonts w:ascii="宋体" w:hAnsi="宋体" w:eastAsia="宋体" w:cs="Times New Roman"/>
                <w:color w:val="auto"/>
                <w:kern w:val="0"/>
                <w:sz w:val="24"/>
                <w:szCs w:val="24"/>
                <w:highlight w:val="none"/>
              </w:rPr>
            </w:pPr>
          </w:p>
        </w:tc>
      </w:tr>
      <w:tr w14:paraId="27BF6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689D2FD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第7.3款</w:t>
            </w:r>
          </w:p>
        </w:tc>
        <w:tc>
          <w:tcPr>
            <w:tcW w:w="2769" w:type="dxa"/>
            <w:vAlign w:val="center"/>
          </w:tcPr>
          <w:p w14:paraId="61C4DA49">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保险要求</w:t>
            </w:r>
          </w:p>
        </w:tc>
        <w:tc>
          <w:tcPr>
            <w:tcW w:w="3295" w:type="dxa"/>
            <w:vAlign w:val="center"/>
          </w:tcPr>
          <w:p w14:paraId="1BFB3695">
            <w:pPr>
              <w:spacing w:line="360" w:lineRule="auto"/>
              <w:rPr>
                <w:rFonts w:ascii="宋体" w:hAnsi="宋体" w:eastAsia="宋体" w:cs="Times New Roman"/>
                <w:color w:val="auto"/>
                <w:kern w:val="0"/>
                <w:sz w:val="24"/>
                <w:szCs w:val="24"/>
                <w:highlight w:val="none"/>
              </w:rPr>
            </w:pPr>
          </w:p>
        </w:tc>
      </w:tr>
      <w:tr w14:paraId="2D30B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25BA790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第8.2（1）项</w:t>
            </w:r>
          </w:p>
        </w:tc>
        <w:tc>
          <w:tcPr>
            <w:tcW w:w="2769" w:type="dxa"/>
            <w:vAlign w:val="center"/>
          </w:tcPr>
          <w:p w14:paraId="2CC97107">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质量保证期</w:t>
            </w:r>
          </w:p>
        </w:tc>
        <w:tc>
          <w:tcPr>
            <w:tcW w:w="3295" w:type="dxa"/>
            <w:vAlign w:val="center"/>
          </w:tcPr>
          <w:p w14:paraId="554FF63B">
            <w:pPr>
              <w:spacing w:line="360" w:lineRule="auto"/>
              <w:rPr>
                <w:rFonts w:ascii="宋体" w:hAnsi="宋体" w:eastAsia="宋体" w:cs="Times New Roman"/>
                <w:color w:val="auto"/>
                <w:sz w:val="24"/>
                <w:szCs w:val="24"/>
                <w:highlight w:val="none"/>
              </w:rPr>
            </w:pPr>
          </w:p>
        </w:tc>
      </w:tr>
      <w:tr w14:paraId="4B3D0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05BD006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第8.2（3）项</w:t>
            </w:r>
          </w:p>
        </w:tc>
        <w:tc>
          <w:tcPr>
            <w:tcW w:w="2769" w:type="dxa"/>
            <w:vAlign w:val="center"/>
          </w:tcPr>
          <w:p w14:paraId="12F14DB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货物质量缺陷响应时间</w:t>
            </w:r>
          </w:p>
        </w:tc>
        <w:tc>
          <w:tcPr>
            <w:tcW w:w="3295" w:type="dxa"/>
            <w:vAlign w:val="center"/>
          </w:tcPr>
          <w:p w14:paraId="164550C4">
            <w:pPr>
              <w:spacing w:line="360" w:lineRule="auto"/>
              <w:rPr>
                <w:rFonts w:ascii="宋体" w:hAnsi="宋体" w:eastAsia="宋体" w:cs="Times New Roman"/>
                <w:color w:val="auto"/>
                <w:sz w:val="24"/>
                <w:szCs w:val="24"/>
                <w:highlight w:val="none"/>
              </w:rPr>
            </w:pPr>
          </w:p>
        </w:tc>
      </w:tr>
      <w:tr w14:paraId="5285A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0B08A6B1">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第11.1款</w:t>
            </w:r>
          </w:p>
        </w:tc>
        <w:tc>
          <w:tcPr>
            <w:tcW w:w="2769" w:type="dxa"/>
            <w:vAlign w:val="center"/>
          </w:tcPr>
          <w:p w14:paraId="426EAB03">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其他应当保密的信息</w:t>
            </w:r>
          </w:p>
        </w:tc>
        <w:tc>
          <w:tcPr>
            <w:tcW w:w="3295" w:type="dxa"/>
            <w:vAlign w:val="center"/>
          </w:tcPr>
          <w:p w14:paraId="4E75709F">
            <w:pPr>
              <w:spacing w:line="360" w:lineRule="auto"/>
              <w:rPr>
                <w:rFonts w:ascii="宋体" w:hAnsi="宋体" w:eastAsia="宋体" w:cs="Times New Roman"/>
                <w:color w:val="auto"/>
                <w:sz w:val="24"/>
                <w:szCs w:val="24"/>
                <w:highlight w:val="none"/>
              </w:rPr>
            </w:pPr>
          </w:p>
        </w:tc>
      </w:tr>
      <w:tr w14:paraId="7AB2C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61244D7B">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第12.2款</w:t>
            </w:r>
          </w:p>
        </w:tc>
        <w:tc>
          <w:tcPr>
            <w:tcW w:w="2769" w:type="dxa"/>
            <w:vAlign w:val="center"/>
          </w:tcPr>
          <w:p w14:paraId="24B02740">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合同价款支付时间</w:t>
            </w:r>
          </w:p>
        </w:tc>
        <w:tc>
          <w:tcPr>
            <w:tcW w:w="3295" w:type="dxa"/>
            <w:vAlign w:val="center"/>
          </w:tcPr>
          <w:p w14:paraId="7B62362E">
            <w:pPr>
              <w:spacing w:line="360" w:lineRule="auto"/>
              <w:rPr>
                <w:rFonts w:ascii="宋体" w:hAnsi="宋体" w:eastAsia="宋体" w:cs="Times New Roman"/>
                <w:color w:val="auto"/>
                <w:sz w:val="24"/>
                <w:szCs w:val="24"/>
                <w:highlight w:val="none"/>
              </w:rPr>
            </w:pPr>
          </w:p>
        </w:tc>
      </w:tr>
      <w:tr w14:paraId="3638C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5F2E0CA8">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第13.2款</w:t>
            </w:r>
          </w:p>
        </w:tc>
        <w:tc>
          <w:tcPr>
            <w:tcW w:w="2769" w:type="dxa"/>
            <w:vAlign w:val="center"/>
          </w:tcPr>
          <w:p w14:paraId="6B10BECB">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履约保证金不予退还的情形</w:t>
            </w:r>
          </w:p>
        </w:tc>
        <w:tc>
          <w:tcPr>
            <w:tcW w:w="3295" w:type="dxa"/>
            <w:vAlign w:val="center"/>
          </w:tcPr>
          <w:p w14:paraId="61DEBC29">
            <w:pPr>
              <w:spacing w:line="360" w:lineRule="auto"/>
              <w:rPr>
                <w:rFonts w:ascii="宋体" w:hAnsi="宋体" w:eastAsia="宋体" w:cs="Times New Roman"/>
                <w:color w:val="auto"/>
                <w:sz w:val="24"/>
                <w:szCs w:val="24"/>
                <w:highlight w:val="none"/>
              </w:rPr>
            </w:pPr>
          </w:p>
        </w:tc>
      </w:tr>
      <w:tr w14:paraId="775EB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1267D289">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第13.3款</w:t>
            </w:r>
          </w:p>
        </w:tc>
        <w:tc>
          <w:tcPr>
            <w:tcW w:w="2769" w:type="dxa"/>
            <w:vAlign w:val="center"/>
          </w:tcPr>
          <w:p w14:paraId="210FC0D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履约保证金退还时间及逾期退还的违约金</w:t>
            </w:r>
          </w:p>
        </w:tc>
        <w:tc>
          <w:tcPr>
            <w:tcW w:w="3295" w:type="dxa"/>
            <w:vAlign w:val="center"/>
          </w:tcPr>
          <w:p w14:paraId="6E50ECA1">
            <w:pPr>
              <w:spacing w:line="360" w:lineRule="auto"/>
              <w:rPr>
                <w:rFonts w:ascii="宋体" w:hAnsi="宋体" w:eastAsia="宋体" w:cs="Times New Roman"/>
                <w:color w:val="auto"/>
                <w:sz w:val="24"/>
                <w:szCs w:val="24"/>
                <w:highlight w:val="none"/>
              </w:rPr>
            </w:pPr>
          </w:p>
        </w:tc>
      </w:tr>
      <w:tr w14:paraId="48F8F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3D6F68B7">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第14.1（3）项</w:t>
            </w:r>
          </w:p>
        </w:tc>
        <w:tc>
          <w:tcPr>
            <w:tcW w:w="2769" w:type="dxa"/>
            <w:vAlign w:val="center"/>
          </w:tcPr>
          <w:p w14:paraId="0B2EC496">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运行监督、维修期限</w:t>
            </w:r>
          </w:p>
        </w:tc>
        <w:tc>
          <w:tcPr>
            <w:tcW w:w="3295" w:type="dxa"/>
            <w:vAlign w:val="center"/>
          </w:tcPr>
          <w:p w14:paraId="78A19BA6">
            <w:pPr>
              <w:spacing w:line="360" w:lineRule="auto"/>
              <w:rPr>
                <w:rFonts w:ascii="宋体" w:hAnsi="宋体" w:eastAsia="宋体" w:cs="Times New Roman"/>
                <w:color w:val="auto"/>
                <w:sz w:val="24"/>
                <w:szCs w:val="24"/>
                <w:highlight w:val="none"/>
              </w:rPr>
            </w:pPr>
          </w:p>
        </w:tc>
      </w:tr>
      <w:tr w14:paraId="4A169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483424BA">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第14.1（5）项</w:t>
            </w:r>
          </w:p>
        </w:tc>
        <w:tc>
          <w:tcPr>
            <w:tcW w:w="2769" w:type="dxa"/>
            <w:vAlign w:val="center"/>
          </w:tcPr>
          <w:p w14:paraId="4117A2B2">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货物回收的约定</w:t>
            </w:r>
          </w:p>
        </w:tc>
        <w:tc>
          <w:tcPr>
            <w:tcW w:w="3295" w:type="dxa"/>
            <w:vAlign w:val="center"/>
          </w:tcPr>
          <w:p w14:paraId="6F2EBA77">
            <w:pPr>
              <w:spacing w:line="360" w:lineRule="auto"/>
              <w:rPr>
                <w:rFonts w:ascii="宋体" w:hAnsi="宋体" w:eastAsia="宋体" w:cs="Times New Roman"/>
                <w:color w:val="auto"/>
                <w:sz w:val="24"/>
                <w:szCs w:val="24"/>
                <w:highlight w:val="none"/>
              </w:rPr>
            </w:pPr>
          </w:p>
        </w:tc>
      </w:tr>
      <w:tr w14:paraId="5E0C6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38A9CC36">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第14.1（6）项</w:t>
            </w:r>
          </w:p>
        </w:tc>
        <w:tc>
          <w:tcPr>
            <w:tcW w:w="2769" w:type="dxa"/>
            <w:vAlign w:val="center"/>
          </w:tcPr>
          <w:p w14:paraId="04F74B3A">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乙方提供的其他服务</w:t>
            </w:r>
          </w:p>
        </w:tc>
        <w:tc>
          <w:tcPr>
            <w:tcW w:w="3295" w:type="dxa"/>
            <w:vAlign w:val="center"/>
          </w:tcPr>
          <w:p w14:paraId="3813837B">
            <w:pPr>
              <w:spacing w:line="360" w:lineRule="auto"/>
              <w:rPr>
                <w:rFonts w:ascii="宋体" w:hAnsi="宋体" w:eastAsia="宋体" w:cs="Times New Roman"/>
                <w:color w:val="auto"/>
                <w:sz w:val="24"/>
                <w:szCs w:val="24"/>
                <w:highlight w:val="none"/>
              </w:rPr>
            </w:pPr>
          </w:p>
        </w:tc>
      </w:tr>
      <w:tr w14:paraId="55576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72382289">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第15.1款</w:t>
            </w:r>
          </w:p>
        </w:tc>
        <w:tc>
          <w:tcPr>
            <w:tcW w:w="2769" w:type="dxa"/>
            <w:vAlign w:val="center"/>
          </w:tcPr>
          <w:p w14:paraId="4CF3EDF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修理、重作、更换相关具体规定</w:t>
            </w:r>
          </w:p>
        </w:tc>
        <w:tc>
          <w:tcPr>
            <w:tcW w:w="3295" w:type="dxa"/>
            <w:vAlign w:val="center"/>
          </w:tcPr>
          <w:p w14:paraId="073EDD93">
            <w:pPr>
              <w:spacing w:line="360" w:lineRule="auto"/>
              <w:rPr>
                <w:rFonts w:ascii="宋体" w:hAnsi="宋体" w:eastAsia="宋体" w:cs="Times New Roman"/>
                <w:color w:val="auto"/>
                <w:sz w:val="24"/>
                <w:szCs w:val="24"/>
                <w:highlight w:val="none"/>
              </w:rPr>
            </w:pPr>
          </w:p>
        </w:tc>
      </w:tr>
      <w:tr w14:paraId="0A0C9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77D17B5B">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第15.2（2）项</w:t>
            </w:r>
          </w:p>
        </w:tc>
        <w:tc>
          <w:tcPr>
            <w:tcW w:w="2769" w:type="dxa"/>
            <w:vAlign w:val="center"/>
          </w:tcPr>
          <w:p w14:paraId="14C9488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迟延交货赔偿费</w:t>
            </w:r>
          </w:p>
        </w:tc>
        <w:tc>
          <w:tcPr>
            <w:tcW w:w="3295" w:type="dxa"/>
            <w:vAlign w:val="center"/>
          </w:tcPr>
          <w:p w14:paraId="57E99CF8">
            <w:pPr>
              <w:spacing w:line="360" w:lineRule="auto"/>
              <w:rPr>
                <w:rFonts w:ascii="宋体" w:hAnsi="宋体" w:eastAsia="宋体" w:cs="Times New Roman"/>
                <w:color w:val="auto"/>
                <w:sz w:val="24"/>
                <w:szCs w:val="24"/>
                <w:highlight w:val="none"/>
              </w:rPr>
            </w:pPr>
          </w:p>
        </w:tc>
      </w:tr>
      <w:tr w14:paraId="0DBEA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4E423081">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第15.3款</w:t>
            </w:r>
          </w:p>
        </w:tc>
        <w:tc>
          <w:tcPr>
            <w:tcW w:w="2769" w:type="dxa"/>
            <w:vAlign w:val="center"/>
          </w:tcPr>
          <w:p w14:paraId="70A7AAD7">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逾期付款利息</w:t>
            </w:r>
          </w:p>
        </w:tc>
        <w:tc>
          <w:tcPr>
            <w:tcW w:w="3295" w:type="dxa"/>
            <w:vAlign w:val="center"/>
          </w:tcPr>
          <w:p w14:paraId="09C3A52B">
            <w:pPr>
              <w:spacing w:line="360" w:lineRule="auto"/>
              <w:rPr>
                <w:rFonts w:ascii="宋体" w:hAnsi="宋体" w:eastAsia="宋体" w:cs="Times New Roman"/>
                <w:color w:val="auto"/>
                <w:sz w:val="24"/>
                <w:szCs w:val="24"/>
                <w:highlight w:val="none"/>
              </w:rPr>
            </w:pPr>
          </w:p>
        </w:tc>
      </w:tr>
      <w:tr w14:paraId="07855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35C2D844">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第15.4款</w:t>
            </w:r>
          </w:p>
        </w:tc>
        <w:tc>
          <w:tcPr>
            <w:tcW w:w="2769" w:type="dxa"/>
            <w:vAlign w:val="center"/>
          </w:tcPr>
          <w:p w14:paraId="219F5DCC">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其他违约责任</w:t>
            </w:r>
          </w:p>
        </w:tc>
        <w:tc>
          <w:tcPr>
            <w:tcW w:w="3295" w:type="dxa"/>
            <w:vAlign w:val="center"/>
          </w:tcPr>
          <w:p w14:paraId="1A0680BF">
            <w:pPr>
              <w:spacing w:line="360" w:lineRule="auto"/>
              <w:rPr>
                <w:rFonts w:ascii="宋体" w:hAnsi="宋体" w:eastAsia="宋体" w:cs="Times New Roman"/>
                <w:color w:val="auto"/>
                <w:sz w:val="24"/>
                <w:szCs w:val="24"/>
                <w:highlight w:val="none"/>
              </w:rPr>
            </w:pPr>
          </w:p>
        </w:tc>
      </w:tr>
      <w:tr w14:paraId="5F2BE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663E3389">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第19.2款</w:t>
            </w:r>
          </w:p>
        </w:tc>
        <w:tc>
          <w:tcPr>
            <w:tcW w:w="2769" w:type="dxa"/>
            <w:vAlign w:val="center"/>
          </w:tcPr>
          <w:p w14:paraId="6B1094DA">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解决争议的方法</w:t>
            </w:r>
          </w:p>
        </w:tc>
        <w:tc>
          <w:tcPr>
            <w:tcW w:w="3295" w:type="dxa"/>
            <w:vAlign w:val="center"/>
          </w:tcPr>
          <w:p w14:paraId="69B6FB16">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因本合同及合同有关事项发生的争议，按下列第____ 种方式解决：</w:t>
            </w:r>
          </w:p>
          <w:p w14:paraId="3E7F1539">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（1）向 _____仲裁委员会申请仲裁，仲裁地点为 ____；</w:t>
            </w:r>
          </w:p>
          <w:p w14:paraId="48C1FB6E">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（2）向__________人民法院起诉。</w:t>
            </w:r>
          </w:p>
        </w:tc>
      </w:tr>
      <w:tr w14:paraId="1039D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769" w:type="dxa"/>
            <w:vAlign w:val="center"/>
          </w:tcPr>
          <w:p w14:paraId="5B2F0E62">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第二节 第23.1款</w:t>
            </w:r>
          </w:p>
        </w:tc>
        <w:tc>
          <w:tcPr>
            <w:tcW w:w="2769" w:type="dxa"/>
            <w:vAlign w:val="center"/>
          </w:tcPr>
          <w:p w14:paraId="5DFFC597">
            <w:pPr>
              <w:spacing w:line="360" w:lineRule="auto"/>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其他专用条款</w:t>
            </w:r>
          </w:p>
        </w:tc>
        <w:tc>
          <w:tcPr>
            <w:tcW w:w="3295" w:type="dxa"/>
            <w:vAlign w:val="center"/>
          </w:tcPr>
          <w:p w14:paraId="540B660C">
            <w:pPr>
              <w:spacing w:line="360" w:lineRule="auto"/>
              <w:rPr>
                <w:rFonts w:ascii="宋体" w:hAnsi="宋体" w:eastAsia="宋体" w:cs="Times New Roman"/>
                <w:color w:val="auto"/>
                <w:sz w:val="24"/>
                <w:szCs w:val="24"/>
                <w:highlight w:val="none"/>
              </w:rPr>
            </w:pPr>
          </w:p>
        </w:tc>
      </w:tr>
    </w:tbl>
    <w:p w14:paraId="0496D119">
      <w:pPr>
        <w:rPr>
          <w:rFonts w:ascii="Calibri" w:hAnsi="Calibri" w:eastAsia="宋体" w:cs="Times New Roman"/>
          <w:color w:val="auto"/>
          <w:highlight w:val="none"/>
        </w:rPr>
      </w:pPr>
    </w:p>
    <w:p w14:paraId="05E0C799">
      <w:pPr>
        <w:rPr>
          <w:color w:val="auto"/>
          <w:highlight w:val="none"/>
        </w:rPr>
      </w:pPr>
    </w:p>
    <w:p w14:paraId="1199468B">
      <w:pPr>
        <w:rPr>
          <w:color w:val="auto"/>
          <w:highlight w:val="none"/>
        </w:rPr>
      </w:pPr>
    </w:p>
    <w:p w14:paraId="6DAE4773">
      <w:pPr>
        <w:rPr>
          <w:rFonts w:ascii="Calibri" w:hAnsi="Calibri" w:eastAsia="宋体" w:cs="Times New Roman"/>
          <w:color w:val="auto"/>
          <w:highlight w:val="none"/>
        </w:rPr>
        <w:sectPr>
          <w:pgSz w:w="11906" w:h="16838"/>
          <w:pgMar w:top="1418" w:right="1418" w:bottom="1418" w:left="1418" w:header="851" w:footer="992" w:gutter="0"/>
          <w:cols w:space="425" w:num="1"/>
          <w:docGrid w:type="lines" w:linePitch="312" w:charSpace="0"/>
        </w:sectPr>
      </w:pPr>
    </w:p>
    <w:p w14:paraId="71793D9E">
      <w:pPr>
        <w:pStyle w:val="2"/>
        <w:keepNext/>
        <w:keepLines/>
        <w:widowControl w:val="0"/>
        <w:spacing w:beforeLines="100" w:beforeAutospacing="0" w:afterLines="100" w:afterAutospacing="0"/>
        <w:jc w:val="center"/>
        <w:rPr>
          <w:rFonts w:ascii="黑体" w:hAnsi="黑体" w:eastAsia="黑体" w:cs="Times New Roman"/>
          <w:color w:val="auto"/>
          <w:kern w:val="0"/>
          <w:sz w:val="32"/>
          <w:szCs w:val="44"/>
          <w:highlight w:val="none"/>
        </w:rPr>
      </w:pPr>
      <w:bookmarkStart w:id="33" w:name="_Toc139103803"/>
      <w:r>
        <w:rPr>
          <w:rFonts w:ascii="黑体" w:hAnsi="黑体" w:eastAsia="黑体" w:cs="Times New Roman"/>
          <w:color w:val="auto"/>
          <w:kern w:val="0"/>
          <w:sz w:val="32"/>
          <w:szCs w:val="44"/>
          <w:highlight w:val="none"/>
        </w:rPr>
        <w:t>第七章</w:t>
      </w:r>
      <w:r>
        <w:rPr>
          <w:rFonts w:hint="eastAsia" w:ascii="黑体" w:hAnsi="黑体" w:eastAsia="黑体" w:cs="Times New Roman"/>
          <w:color w:val="auto"/>
          <w:kern w:val="0"/>
          <w:sz w:val="32"/>
          <w:szCs w:val="44"/>
          <w:highlight w:val="none"/>
        </w:rPr>
        <w:t xml:space="preserve">  </w:t>
      </w:r>
      <w:r>
        <w:rPr>
          <w:rFonts w:ascii="黑体" w:hAnsi="黑体" w:eastAsia="黑体" w:cs="Times New Roman"/>
          <w:color w:val="auto"/>
          <w:kern w:val="0"/>
          <w:sz w:val="32"/>
          <w:szCs w:val="44"/>
          <w:highlight w:val="none"/>
        </w:rPr>
        <w:t>电子投标文件格式</w:t>
      </w:r>
      <w:bookmarkEnd w:id="33"/>
    </w:p>
    <w:p w14:paraId="1B677AD3">
      <w:pPr>
        <w:rPr>
          <w:color w:val="auto"/>
          <w:highlight w:val="none"/>
        </w:rPr>
      </w:pPr>
    </w:p>
    <w:p w14:paraId="54D6FAE6">
      <w:pPr>
        <w:spacing w:beforeLines="50" w:afterLines="50"/>
        <w:jc w:val="center"/>
        <w:rPr>
          <w:b/>
          <w:color w:val="auto"/>
          <w:sz w:val="28"/>
          <w:szCs w:val="28"/>
          <w:highlight w:val="none"/>
        </w:rPr>
      </w:pPr>
      <w:r>
        <w:rPr>
          <w:b/>
          <w:color w:val="auto"/>
          <w:sz w:val="28"/>
          <w:szCs w:val="28"/>
          <w:highlight w:val="none"/>
        </w:rPr>
        <w:t>编制说明</w:t>
      </w:r>
    </w:p>
    <w:p w14:paraId="5649B12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1、除招标文件另有规定外，本章中：</w:t>
      </w:r>
    </w:p>
    <w:p w14:paraId="52A3370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1.1涉及投标人的“全称”：</w:t>
      </w:r>
    </w:p>
    <w:p w14:paraId="5880DC2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（1）不接受联合体投标的，指投标人的全称。</w:t>
      </w:r>
    </w:p>
    <w:p w14:paraId="604652A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（2）接受联合体投标且投标人为联合体的，指牵头方的全称并加注（联合体牵头方），即应表述为：“牵头方的全称（联合体牵头方）”。</w:t>
      </w:r>
    </w:p>
    <w:p w14:paraId="2562115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1.2涉及投标人“加盖单位公章”：</w:t>
      </w:r>
    </w:p>
    <w:p w14:paraId="76E6421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（1）不接受联合体投标的，指加盖投标人的单位公章。</w:t>
      </w:r>
    </w:p>
    <w:p w14:paraId="26AD6F63">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（2）接受联合体投标且投标人为联合体的，指加盖联合体牵头方的单位公章。</w:t>
      </w:r>
    </w:p>
    <w:p w14:paraId="595E73C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1.3涉及“投标人代表签字”：</w:t>
      </w:r>
    </w:p>
    <w:p w14:paraId="74B0DD3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（1）不接受联合体投标的，指由投标人的单位负责人或其授权的委托代理人签字，由委托代理人签字的，应提供“单位授权书”。</w:t>
      </w:r>
    </w:p>
    <w:p w14:paraId="75E674B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（2）接受联合体投标且投标人为联合体的，指由联合体牵头方的单位负责人或其授权的委托代理人签字，由委托代理人签字的，应提供“单位授权书”。</w:t>
      </w:r>
    </w:p>
    <w:p w14:paraId="171ADB6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1.4“其他组织”指合伙企业、非企业专业服务机构、个体工商户、农村承包经营户等。</w:t>
      </w:r>
    </w:p>
    <w:p w14:paraId="780AD72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1.5“自然人”指具有完全民事行为能力、能够承担民事责任和义务的中国公民。</w:t>
      </w:r>
    </w:p>
    <w:p w14:paraId="4F02DEF3">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2、除招标文件另有规定外，本章中“投标人的资格及资信证明文件”：</w:t>
      </w:r>
    </w:p>
    <w:p w14:paraId="3F6FE12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2.1投标人应按照招标文件第四章第1.3条第（2）款规定及本章规定进行编制，如有必要，可增加附页，附页作为资格及资信文件的组成部分。</w:t>
      </w:r>
    </w:p>
    <w:p w14:paraId="5935328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2.2接受联合体投标且投标人为联合体的，联合体中的各方均应按照本章第2.1条规定提交相应的全部资料。</w:t>
      </w:r>
    </w:p>
    <w:p w14:paraId="08E6F33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3、投标人对电子投标文件的索引应编制页码。</w:t>
      </w:r>
    </w:p>
    <w:p w14:paraId="168B15D3">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4、本章提供格式仅供参考，投标人应根据自身实际情况制作电子投标文件。</w:t>
      </w:r>
    </w:p>
    <w:p w14:paraId="177818B8">
      <w:pPr>
        <w:rPr>
          <w:color w:val="auto"/>
          <w:highlight w:val="none"/>
        </w:rPr>
        <w:sectPr>
          <w:pgSz w:w="11906" w:h="16838"/>
          <w:pgMar w:top="1418" w:right="1418" w:bottom="1418" w:left="1418" w:header="851" w:footer="992" w:gutter="0"/>
          <w:cols w:space="425" w:num="1"/>
          <w:docGrid w:type="lines" w:linePitch="312" w:charSpace="0"/>
        </w:sectPr>
      </w:pPr>
    </w:p>
    <w:p w14:paraId="0B51177B">
      <w:pPr>
        <w:spacing w:beforeLines="50" w:afterLines="50"/>
        <w:jc w:val="center"/>
        <w:rPr>
          <w:b/>
          <w:color w:val="auto"/>
          <w:sz w:val="28"/>
          <w:szCs w:val="28"/>
          <w:highlight w:val="none"/>
        </w:rPr>
      </w:pPr>
      <w:r>
        <w:rPr>
          <w:b/>
          <w:color w:val="auto"/>
          <w:sz w:val="28"/>
          <w:szCs w:val="28"/>
          <w:highlight w:val="none"/>
        </w:rPr>
        <w:t>封面格式（资格及资信证明部分）</w:t>
      </w:r>
    </w:p>
    <w:p w14:paraId="41655546">
      <w:pPr>
        <w:jc w:val="center"/>
        <w:rPr>
          <w:rFonts w:ascii="宋体" w:hAnsi="宋体" w:eastAsia="宋体"/>
          <w:b/>
          <w:color w:val="auto"/>
          <w:sz w:val="32"/>
          <w:szCs w:val="32"/>
          <w:highlight w:val="none"/>
        </w:rPr>
      </w:pPr>
    </w:p>
    <w:p w14:paraId="37395642">
      <w:pPr>
        <w:jc w:val="center"/>
        <w:rPr>
          <w:rFonts w:ascii="宋体" w:hAnsi="宋体" w:eastAsia="宋体"/>
          <w:b/>
          <w:color w:val="auto"/>
          <w:sz w:val="32"/>
          <w:szCs w:val="32"/>
          <w:highlight w:val="none"/>
        </w:rPr>
      </w:pPr>
      <w:r>
        <w:rPr>
          <w:rFonts w:ascii="宋体" w:hAnsi="宋体" w:eastAsia="宋体"/>
          <w:b/>
          <w:color w:val="auto"/>
          <w:sz w:val="32"/>
          <w:szCs w:val="32"/>
          <w:highlight w:val="none"/>
        </w:rPr>
        <w:t>福建省政府采购投标文件</w:t>
      </w:r>
    </w:p>
    <w:p w14:paraId="46294F4B">
      <w:pPr>
        <w:jc w:val="center"/>
        <w:rPr>
          <w:rFonts w:ascii="宋体" w:hAnsi="宋体" w:eastAsia="宋体"/>
          <w:b/>
          <w:color w:val="auto"/>
          <w:sz w:val="32"/>
          <w:szCs w:val="32"/>
          <w:highlight w:val="none"/>
        </w:rPr>
      </w:pPr>
      <w:r>
        <w:rPr>
          <w:rFonts w:ascii="宋体" w:hAnsi="宋体" w:eastAsia="宋体"/>
          <w:b/>
          <w:color w:val="auto"/>
          <w:sz w:val="32"/>
          <w:szCs w:val="32"/>
          <w:highlight w:val="none"/>
        </w:rPr>
        <w:t>（资格及资信证明部分）</w:t>
      </w:r>
    </w:p>
    <w:p w14:paraId="38940D59">
      <w:pPr>
        <w:jc w:val="center"/>
        <w:rPr>
          <w:rFonts w:ascii="宋体" w:hAnsi="宋体" w:eastAsia="宋体"/>
          <w:b/>
          <w:color w:val="auto"/>
          <w:sz w:val="32"/>
          <w:szCs w:val="32"/>
          <w:highlight w:val="none"/>
        </w:rPr>
      </w:pPr>
      <w:r>
        <w:rPr>
          <w:rFonts w:ascii="宋体" w:hAnsi="宋体" w:eastAsia="宋体"/>
          <w:b/>
          <w:color w:val="auto"/>
          <w:sz w:val="32"/>
          <w:szCs w:val="32"/>
          <w:highlight w:val="none"/>
        </w:rPr>
        <w:t>（填写正本或副本）</w:t>
      </w:r>
    </w:p>
    <w:p w14:paraId="70FBA420">
      <w:pPr>
        <w:jc w:val="center"/>
        <w:rPr>
          <w:rFonts w:ascii="宋体" w:hAnsi="宋体" w:eastAsia="宋体"/>
          <w:b/>
          <w:color w:val="auto"/>
          <w:sz w:val="32"/>
          <w:szCs w:val="32"/>
          <w:highlight w:val="none"/>
        </w:rPr>
      </w:pPr>
    </w:p>
    <w:p w14:paraId="14970CFA">
      <w:pPr>
        <w:jc w:val="center"/>
        <w:rPr>
          <w:rFonts w:ascii="宋体" w:hAnsi="宋体" w:eastAsia="宋体"/>
          <w:b/>
          <w:color w:val="auto"/>
          <w:sz w:val="32"/>
          <w:szCs w:val="32"/>
          <w:highlight w:val="none"/>
        </w:rPr>
      </w:pPr>
    </w:p>
    <w:p w14:paraId="245735CE">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（项目名称：（由投标人填写）</w:t>
      </w:r>
    </w:p>
    <w:p w14:paraId="10ABA235">
      <w:pPr>
        <w:jc w:val="center"/>
        <w:rPr>
          <w:rFonts w:ascii="宋体" w:hAnsi="宋体" w:eastAsia="宋体"/>
          <w:b/>
          <w:color w:val="auto"/>
          <w:sz w:val="32"/>
          <w:szCs w:val="32"/>
          <w:highlight w:val="none"/>
        </w:rPr>
      </w:pPr>
      <w:r>
        <w:rPr>
          <w:rFonts w:ascii="宋体" w:hAnsi="宋体" w:eastAsia="宋体"/>
          <w:b/>
          <w:color w:val="auto"/>
          <w:sz w:val="32"/>
          <w:szCs w:val="32"/>
          <w:highlight w:val="none"/>
        </w:rPr>
        <w:t>（备案编号：（由投标人填写）</w:t>
      </w:r>
    </w:p>
    <w:p w14:paraId="650835F1">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（项目编号：（由投标人填写）</w:t>
      </w:r>
    </w:p>
    <w:p w14:paraId="197EFDB6">
      <w:pPr>
        <w:jc w:val="center"/>
        <w:rPr>
          <w:rFonts w:ascii="宋体" w:hAnsi="宋体" w:eastAsia="宋体"/>
          <w:b/>
          <w:color w:val="auto"/>
          <w:sz w:val="32"/>
          <w:szCs w:val="32"/>
          <w:highlight w:val="none"/>
        </w:rPr>
      </w:pPr>
      <w:r>
        <w:rPr>
          <w:rFonts w:ascii="宋体" w:hAnsi="宋体" w:eastAsia="宋体"/>
          <w:b/>
          <w:color w:val="auto"/>
          <w:sz w:val="32"/>
          <w:szCs w:val="32"/>
          <w:highlight w:val="none"/>
        </w:rPr>
        <w:t>（所投采购包：（由投标人填写）</w:t>
      </w:r>
    </w:p>
    <w:p w14:paraId="08EB05F9">
      <w:pPr>
        <w:jc w:val="center"/>
        <w:rPr>
          <w:rFonts w:ascii="宋体" w:hAnsi="宋体" w:eastAsia="宋体"/>
          <w:b/>
          <w:color w:val="auto"/>
          <w:sz w:val="32"/>
          <w:szCs w:val="32"/>
          <w:highlight w:val="none"/>
        </w:rPr>
      </w:pPr>
    </w:p>
    <w:p w14:paraId="1668B4F7">
      <w:pPr>
        <w:jc w:val="center"/>
        <w:rPr>
          <w:rFonts w:ascii="宋体" w:hAnsi="宋体" w:eastAsia="宋体"/>
          <w:b/>
          <w:color w:val="auto"/>
          <w:sz w:val="32"/>
          <w:szCs w:val="32"/>
          <w:highlight w:val="none"/>
        </w:rPr>
      </w:pPr>
      <w:r>
        <w:rPr>
          <w:rFonts w:ascii="宋体" w:hAnsi="宋体" w:eastAsia="宋体"/>
          <w:b/>
          <w:color w:val="auto"/>
          <w:sz w:val="32"/>
          <w:szCs w:val="32"/>
          <w:highlight w:val="none"/>
        </w:rPr>
        <w:t>投标人：（填写“全称”）</w:t>
      </w:r>
    </w:p>
    <w:p w14:paraId="6ACFE758">
      <w:pPr>
        <w:jc w:val="center"/>
        <w:rPr>
          <w:rFonts w:ascii="宋体" w:hAnsi="宋体" w:eastAsia="宋体"/>
          <w:b/>
          <w:color w:val="auto"/>
          <w:sz w:val="32"/>
          <w:szCs w:val="32"/>
          <w:highlight w:val="none"/>
        </w:rPr>
      </w:pPr>
      <w:r>
        <w:rPr>
          <w:rFonts w:ascii="宋体" w:hAnsi="宋体" w:eastAsia="宋体"/>
          <w:b/>
          <w:color w:val="auto"/>
          <w:sz w:val="32"/>
          <w:szCs w:val="32"/>
          <w:highlight w:val="none"/>
        </w:rPr>
        <w:t>（由投标人填写）年（由投标人填写）月</w:t>
      </w:r>
    </w:p>
    <w:p w14:paraId="7C6F7E66">
      <w:pPr>
        <w:rPr>
          <w:color w:val="auto"/>
          <w:highlight w:val="none"/>
        </w:rPr>
      </w:pPr>
    </w:p>
    <w:p w14:paraId="5DDA5C04">
      <w:pPr>
        <w:rPr>
          <w:color w:val="auto"/>
          <w:highlight w:val="none"/>
        </w:rPr>
        <w:sectPr>
          <w:pgSz w:w="11906" w:h="16838"/>
          <w:pgMar w:top="1418" w:right="1418" w:bottom="1418" w:left="1418" w:header="851" w:footer="992" w:gutter="0"/>
          <w:cols w:space="425" w:num="1"/>
          <w:docGrid w:type="lines" w:linePitch="312" w:charSpace="0"/>
        </w:sectPr>
      </w:pPr>
    </w:p>
    <w:p w14:paraId="4047FDF6">
      <w:pPr>
        <w:spacing w:beforeLines="50" w:afterLines="50"/>
        <w:jc w:val="center"/>
        <w:rPr>
          <w:b/>
          <w:color w:val="auto"/>
          <w:sz w:val="28"/>
          <w:szCs w:val="28"/>
          <w:highlight w:val="none"/>
        </w:rPr>
      </w:pPr>
      <w:r>
        <w:rPr>
          <w:b/>
          <w:color w:val="auto"/>
          <w:sz w:val="28"/>
          <w:szCs w:val="28"/>
          <w:highlight w:val="none"/>
        </w:rPr>
        <w:t>索引</w:t>
      </w:r>
    </w:p>
    <w:p w14:paraId="77D091CD">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一、投标函</w:t>
      </w:r>
    </w:p>
    <w:p w14:paraId="4E9B64B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二、投标人的资格及资信证明文件</w:t>
      </w:r>
    </w:p>
    <w:p w14:paraId="2995922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三、投标保证金</w:t>
      </w:r>
    </w:p>
    <w:p w14:paraId="62D39B9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3D54D54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资格及资信证明部分中不得出现报价部分的全部或部分的投标报价信息（或组成资料），否则资格审查不合格。（联合体协议及分包意向协议中的比例规定，不适用本条款）</w:t>
      </w:r>
    </w:p>
    <w:p w14:paraId="18339929">
      <w:pPr>
        <w:pStyle w:val="54"/>
        <w:spacing w:line="360" w:lineRule="auto"/>
        <w:ind w:firstLine="480" w:firstLineChars="200"/>
        <w:rPr>
          <w:rFonts w:hint="default" w:asciiTheme="minorEastAsia" w:hAnsiTheme="minorEastAsia"/>
          <w:color w:val="auto"/>
          <w:sz w:val="24"/>
          <w:szCs w:val="24"/>
          <w:highlight w:val="none"/>
        </w:rPr>
      </w:pPr>
    </w:p>
    <w:p w14:paraId="510CF829">
      <w:pPr>
        <w:rPr>
          <w:color w:val="auto"/>
          <w:highlight w:val="none"/>
        </w:rPr>
        <w:sectPr>
          <w:pgSz w:w="11906" w:h="16838"/>
          <w:pgMar w:top="1418" w:right="1418" w:bottom="1418" w:left="1418" w:header="851" w:footer="992" w:gutter="0"/>
          <w:cols w:space="425" w:num="1"/>
          <w:docGrid w:type="lines" w:linePitch="312" w:charSpace="0"/>
        </w:sectPr>
      </w:pPr>
    </w:p>
    <w:p w14:paraId="323012EB">
      <w:pPr>
        <w:spacing w:beforeLines="50" w:afterLines="50"/>
        <w:jc w:val="center"/>
        <w:rPr>
          <w:b/>
          <w:color w:val="auto"/>
          <w:sz w:val="28"/>
          <w:szCs w:val="28"/>
          <w:highlight w:val="none"/>
        </w:rPr>
      </w:pPr>
      <w:r>
        <w:rPr>
          <w:b/>
          <w:color w:val="auto"/>
          <w:sz w:val="28"/>
          <w:szCs w:val="28"/>
          <w:highlight w:val="none"/>
        </w:rPr>
        <w:t>一、投标函</w:t>
      </w:r>
    </w:p>
    <w:p w14:paraId="7437AB50">
      <w:pPr>
        <w:pStyle w:val="54"/>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382EA0C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兹收到贵单位关于</w:t>
      </w:r>
      <w:r>
        <w:rPr>
          <w:rFonts w:asciiTheme="minorEastAsia" w:hAnsiTheme="minorEastAsia"/>
          <w:color w:val="auto"/>
          <w:sz w:val="24"/>
          <w:szCs w:val="24"/>
          <w:highlight w:val="none"/>
          <w:u w:val="single"/>
        </w:rPr>
        <w:t xml:space="preserve">（填写“项目名称”） </w:t>
      </w:r>
      <w:r>
        <w:rPr>
          <w:rFonts w:asciiTheme="minorEastAsia" w:hAnsiTheme="minorEastAsia"/>
          <w:color w:val="auto"/>
          <w:sz w:val="24"/>
          <w:szCs w:val="24"/>
          <w:highlight w:val="none"/>
        </w:rPr>
        <w:t>项目</w:t>
      </w:r>
      <w:r>
        <w:rPr>
          <w:rFonts w:asciiTheme="minorEastAsia" w:hAnsiTheme="minorEastAsia"/>
          <w:color w:val="auto"/>
          <w:sz w:val="24"/>
          <w:szCs w:val="24"/>
          <w:highlight w:val="none"/>
          <w:u w:val="single"/>
        </w:rPr>
        <w:t xml:space="preserve">（项目编号：　　　　　） </w:t>
      </w:r>
      <w:r>
        <w:rPr>
          <w:rFonts w:asciiTheme="minorEastAsia" w:hAnsiTheme="minorEastAsia"/>
          <w:color w:val="auto"/>
          <w:sz w:val="24"/>
          <w:szCs w:val="24"/>
          <w:highlight w:val="none"/>
        </w:rPr>
        <w:t>的投标邀请，本投标人代表</w:t>
      </w:r>
      <w:r>
        <w:rPr>
          <w:rFonts w:asciiTheme="minorEastAsia" w:hAnsiTheme="minorEastAsia"/>
          <w:color w:val="auto"/>
          <w:sz w:val="24"/>
          <w:szCs w:val="24"/>
          <w:highlight w:val="none"/>
          <w:u w:val="single"/>
        </w:rPr>
        <w:t xml:space="preserve">（填写“全名”） </w:t>
      </w:r>
      <w:r>
        <w:rPr>
          <w:rFonts w:asciiTheme="minorEastAsia" w:hAnsiTheme="minorEastAsia"/>
          <w:color w:val="auto"/>
          <w:sz w:val="24"/>
          <w:szCs w:val="24"/>
          <w:highlight w:val="none"/>
        </w:rPr>
        <w:t>已获得我方正式授权并代表投标人（填写“全称”）参加投标，并提交电子投标文件。我方提交的全部电子投标文件由下述部分组成：</w:t>
      </w:r>
    </w:p>
    <w:p w14:paraId="1F135D6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（1）资格及资信证明部分</w:t>
      </w:r>
    </w:p>
    <w:p w14:paraId="1A22ADA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①投标函</w:t>
      </w:r>
    </w:p>
    <w:p w14:paraId="226A5CD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②投标人的资格及资信证明文件</w:t>
      </w:r>
    </w:p>
    <w:p w14:paraId="4802392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③投标保证金</w:t>
      </w:r>
    </w:p>
    <w:p w14:paraId="0DF5F1F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（2）报价部分</w:t>
      </w:r>
    </w:p>
    <w:p w14:paraId="4883B5C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①开标（报价）一览表</w:t>
      </w:r>
    </w:p>
    <w:p w14:paraId="6B40525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②投标（响应）报价明细表</w:t>
      </w:r>
    </w:p>
    <w:p w14:paraId="19C1C8D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③招标文件规定的价格扣除证明材料（若有）</w:t>
      </w:r>
    </w:p>
    <w:p w14:paraId="7A5C385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④招标文件规定的加分证明材料（若有）</w:t>
      </w:r>
    </w:p>
    <w:p w14:paraId="4C262DF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（3）技术商务部分</w:t>
      </w:r>
    </w:p>
    <w:p w14:paraId="392F1607">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①标的说明一览表</w:t>
      </w:r>
    </w:p>
    <w:p w14:paraId="3F61884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②技术和服务要求响应表</w:t>
      </w:r>
    </w:p>
    <w:p w14:paraId="61E6058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③商务条件响应表</w:t>
      </w:r>
    </w:p>
    <w:p w14:paraId="4BFC8E0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④投标人提交的其他资料（若有）</w:t>
      </w:r>
    </w:p>
    <w:p w14:paraId="03EBE79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根据本函，本投标人代表宣布我方保证遵守招标文件的全部规定，同时：</w:t>
      </w:r>
    </w:p>
    <w:p w14:paraId="4F50324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1、确认：</w:t>
      </w:r>
    </w:p>
    <w:p w14:paraId="3126EB8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1.1所投采购包的投标报价详见“开标（报价）一览表”及“投标（响应）报价明细表”。</w:t>
      </w:r>
    </w:p>
    <w:p w14:paraId="2A1C052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1.2我方已详细审查全部招标文件[包括但不限于：有关附件（若有）、澄清或修改（若有）等]，并自行承担因对全部招标文件理解不正确或误解而产生的相应后果和责任。</w:t>
      </w:r>
    </w:p>
    <w:p w14:paraId="5F06B02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2、承诺及声明：</w:t>
      </w:r>
    </w:p>
    <w:p w14:paraId="34AA75D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2.1我方具备招标文件第一章载明的“投标人的资格要求”且符合招标文件第三章载明的“二、投标人”之规定，否则投标无效。</w:t>
      </w:r>
    </w:p>
    <w:p w14:paraId="2E1D5D7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2.2我方提交的电子投标文件各组成部分的全部内容及资料是不可割离且真实、有效、准确、完整和不具有任何误导性的，否则产生不利后果由我方承担责任。</w:t>
      </w:r>
    </w:p>
    <w:p w14:paraId="7402DE4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2.3我方提供的标的价格不高于同期市场价格，否则产生不利后果由我方承担责任。</w:t>
      </w:r>
    </w:p>
    <w:p w14:paraId="5ED6EF4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2.4投标保证金：若出现招标文件第三章规定的不予退还情形，同意贵单位不予退还。</w:t>
      </w:r>
    </w:p>
    <w:p w14:paraId="4A13CB3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2.5投标有效期：按照招标文件第三章规定执行，并在招标文件第二章载明的期限内保持有效。</w:t>
      </w:r>
    </w:p>
    <w:p w14:paraId="541FF96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2.6若中标，将按照招标文件、我方电子投标文件及政府采购合同履行责任和义务。</w:t>
      </w:r>
    </w:p>
    <w:p w14:paraId="44C09E4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2.7若贵单位要求，我方同意提供与本项目投标有关的一切资料、数据或文件，并完全理解贵单位不一定要接受最低的投标报价或收到的任何投标。</w:t>
      </w:r>
    </w:p>
    <w:p w14:paraId="40B2628C">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2.8我方承诺遵守《中华人民共和国劳动合同法》有关规定和《中华人民共和国妇女权益保障法 》中关于“劳动和社会保障权益”的有关要求。</w:t>
      </w:r>
    </w:p>
    <w:p w14:paraId="027FEDE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2.9我方承诺电子投标文件所提供的全部资料真实可靠，并接受评标委员会、采购人、采购代理机构、监管部门进一步审查其中任何资料真实性的要求。</w:t>
      </w:r>
    </w:p>
    <w:p w14:paraId="3CD38EA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2.10除招标文件另有规定外，对于贵单位按照下述联络方式发出的任何信息或通知，均视为我方已收悉前述信息或通知的全部内容：</w:t>
      </w:r>
    </w:p>
    <w:p w14:paraId="23F4BB6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通信地址：</w:t>
      </w:r>
    </w:p>
    <w:p w14:paraId="480C465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邮编：</w:t>
      </w:r>
    </w:p>
    <w:p w14:paraId="6B0FB79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联系方法：（包括但不限于：联系人、联系电话、手机、传真、电子邮箱等）</w:t>
      </w:r>
    </w:p>
    <w:p w14:paraId="41914EB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投标人：（全称并加盖单位公章）</w:t>
      </w:r>
    </w:p>
    <w:p w14:paraId="4114FC6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 年 月 日</w:t>
      </w:r>
    </w:p>
    <w:p w14:paraId="560EB3DF">
      <w:pPr>
        <w:rPr>
          <w:color w:val="auto"/>
          <w:highlight w:val="none"/>
        </w:rPr>
      </w:pPr>
    </w:p>
    <w:p w14:paraId="2C82178A">
      <w:pPr>
        <w:rPr>
          <w:color w:val="auto"/>
          <w:highlight w:val="none"/>
        </w:rPr>
        <w:sectPr>
          <w:pgSz w:w="11906" w:h="16838"/>
          <w:pgMar w:top="1418" w:right="1418" w:bottom="1418" w:left="1418" w:header="851" w:footer="992" w:gutter="0"/>
          <w:cols w:space="425" w:num="1"/>
          <w:docGrid w:type="lines" w:linePitch="312" w:charSpace="0"/>
        </w:sectPr>
      </w:pPr>
    </w:p>
    <w:p w14:paraId="5DEC80AF">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二、投标人的资格及资信证明文件</w:t>
      </w:r>
    </w:p>
    <w:p w14:paraId="56D0B3B9">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二-1单位授权书（若有）</w:t>
      </w:r>
    </w:p>
    <w:p w14:paraId="2571EFC0">
      <w:pPr>
        <w:pStyle w:val="54"/>
        <w:spacing w:line="276"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1E14A052">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我方的单位负责人</w:t>
      </w:r>
      <w:r>
        <w:rPr>
          <w:rFonts w:asciiTheme="minorEastAsia" w:hAnsiTheme="minorEastAsia"/>
          <w:color w:val="auto"/>
          <w:sz w:val="24"/>
          <w:szCs w:val="24"/>
          <w:highlight w:val="none"/>
          <w:u w:val="single"/>
        </w:rPr>
        <w:t>（填写“单位负责人全名”）</w:t>
      </w:r>
      <w:r>
        <w:rPr>
          <w:rFonts w:asciiTheme="minorEastAsia" w:hAnsiTheme="minorEastAsia"/>
          <w:color w:val="auto"/>
          <w:sz w:val="24"/>
          <w:szCs w:val="24"/>
          <w:highlight w:val="none"/>
        </w:rPr>
        <w:t>授权</w:t>
      </w:r>
      <w:r>
        <w:rPr>
          <w:rFonts w:asciiTheme="minorEastAsia" w:hAnsiTheme="minorEastAsia"/>
          <w:color w:val="auto"/>
          <w:sz w:val="24"/>
          <w:szCs w:val="24"/>
          <w:highlight w:val="none"/>
          <w:u w:val="single"/>
        </w:rPr>
        <w:t>（填写“投标人代表全名”）</w:t>
      </w:r>
      <w:r>
        <w:rPr>
          <w:rFonts w:asciiTheme="minorEastAsia" w:hAnsiTheme="minorEastAsia"/>
          <w:color w:val="auto"/>
          <w:sz w:val="24"/>
          <w:szCs w:val="24"/>
          <w:highlight w:val="none"/>
        </w:rPr>
        <w:t>为投标人代表，代表我方参加</w:t>
      </w:r>
      <w:r>
        <w:rPr>
          <w:rFonts w:asciiTheme="minorEastAsia" w:hAnsiTheme="minorEastAsia"/>
          <w:color w:val="auto"/>
          <w:sz w:val="24"/>
          <w:szCs w:val="24"/>
          <w:highlight w:val="none"/>
          <w:u w:val="single"/>
        </w:rPr>
        <w:t>（填写“项目名称”）</w:t>
      </w:r>
      <w:r>
        <w:rPr>
          <w:rFonts w:asciiTheme="minorEastAsia" w:hAnsiTheme="minorEastAsia"/>
          <w:color w:val="auto"/>
          <w:sz w:val="24"/>
          <w:szCs w:val="24"/>
          <w:highlight w:val="none"/>
        </w:rPr>
        <w:t>项目（项目编号：</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5B1961B">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投标人代表无转委权。特此授权。</w:t>
      </w:r>
    </w:p>
    <w:p w14:paraId="72CC2896">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（以下无正文）</w:t>
      </w:r>
    </w:p>
    <w:p w14:paraId="715AA73D">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单位负责人：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身份证号：</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手机：</w:t>
      </w:r>
      <w:r>
        <w:rPr>
          <w:rFonts w:asciiTheme="minorEastAsia" w:hAnsiTheme="minorEastAsia"/>
          <w:color w:val="auto"/>
          <w:sz w:val="24"/>
          <w:szCs w:val="24"/>
          <w:highlight w:val="none"/>
          <w:u w:val="single"/>
        </w:rPr>
        <w:t>　　　　　</w:t>
      </w:r>
    </w:p>
    <w:p w14:paraId="135F06E5">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投标人代表：</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身份证号：</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手机：</w:t>
      </w:r>
      <w:r>
        <w:rPr>
          <w:rFonts w:asciiTheme="minorEastAsia" w:hAnsiTheme="minorEastAsia"/>
          <w:color w:val="auto"/>
          <w:sz w:val="24"/>
          <w:szCs w:val="24"/>
          <w:highlight w:val="none"/>
          <w:u w:val="single"/>
        </w:rPr>
        <w:t>　　　　　</w:t>
      </w:r>
    </w:p>
    <w:p w14:paraId="57188267">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授权方</w:t>
      </w:r>
    </w:p>
    <w:p w14:paraId="521E42CE">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1F587A5C">
      <w:pPr>
        <w:pStyle w:val="54"/>
        <w:spacing w:line="276"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签署日期： 年 月 日</w:t>
      </w:r>
    </w:p>
    <w:p w14:paraId="0D8E993A">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附：单位负责人、投标人代表的身份证正反面复印件</w:t>
      </w:r>
    </w:p>
    <w:p w14:paraId="4F7BF696">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要求：真实有效且内容完整、清晰、整洁。</w:t>
      </w:r>
    </w:p>
    <w:p w14:paraId="001A256C">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7AC27F70">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1、企业（银行、保险、石油石化、电力、电信等行业除外）、事业单位和社会团体法人的“单位负责人”指法定代表人，即与实际提交的“营业执照等证明文件”载明的一致。</w:t>
      </w:r>
    </w:p>
    <w:p w14:paraId="34EA5841">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679502B">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5F7E88F6">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4、投标人为自然人的，可不填写本授权书。</w:t>
      </w:r>
    </w:p>
    <w:p w14:paraId="5DA0148E">
      <w:pPr>
        <w:rPr>
          <w:color w:val="auto"/>
          <w:highlight w:val="none"/>
        </w:rPr>
      </w:pPr>
    </w:p>
    <w:p w14:paraId="7569FE80">
      <w:pPr>
        <w:rPr>
          <w:color w:val="auto"/>
          <w:highlight w:val="none"/>
        </w:rPr>
        <w:sectPr>
          <w:pgSz w:w="11906" w:h="16838"/>
          <w:pgMar w:top="1418" w:right="1418" w:bottom="1418" w:left="1418" w:header="851" w:footer="992" w:gutter="0"/>
          <w:cols w:space="425" w:num="1"/>
          <w:docGrid w:type="lines" w:linePitch="312" w:charSpace="0"/>
        </w:sectPr>
      </w:pPr>
    </w:p>
    <w:p w14:paraId="71C4ECF2">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二-2 证明材料</w:t>
      </w:r>
    </w:p>
    <w:p w14:paraId="5CD5E8B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B495EFA">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二-2-1 福建省政府采购供应商资格承诺函</w:t>
      </w:r>
    </w:p>
    <w:p w14:paraId="4DC2A165">
      <w:pPr>
        <w:pStyle w:val="54"/>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4B9401B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单位名称（自然人姓名）：</w:t>
      </w:r>
    </w:p>
    <w:p w14:paraId="0DD6BC6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统一社会信用代码（自然人身份证号码）：</w:t>
      </w:r>
    </w:p>
    <w:p w14:paraId="1B4EAD4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法定代表人（负责人）：</w:t>
      </w:r>
    </w:p>
    <w:p w14:paraId="1D92966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联系地址和电话：</w:t>
      </w:r>
    </w:p>
    <w:p w14:paraId="732769BD">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31F2419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一、我单位（本人）具备采购文件要求以及《中华人民共和国政府采购法》第二十二条规定的条件：</w:t>
      </w:r>
    </w:p>
    <w:p w14:paraId="2E622A6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1.具有独立承担民事责任的能力;</w:t>
      </w:r>
    </w:p>
    <w:p w14:paraId="6CF4E0A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2.具有良好的商业信誉和健全的财务会计制度;</w:t>
      </w:r>
    </w:p>
    <w:p w14:paraId="6E161DCD">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3.具有履行合同所必需的设备和专业技术能力;</w:t>
      </w:r>
    </w:p>
    <w:p w14:paraId="3B1FFB2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4.有依法缴纳税收和社会保障资金的良好记录;</w:t>
      </w:r>
    </w:p>
    <w:p w14:paraId="0B3CA11C">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5.参加政府采购活动前三年内，在经营活动中没有重大违法记录；</w:t>
      </w:r>
    </w:p>
    <w:p w14:paraId="29D8542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6.法律、行政法规规定的其他条件。</w:t>
      </w:r>
    </w:p>
    <w:p w14:paraId="45DADE9C">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A038EC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48017F3">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供应商：</w:t>
      </w:r>
      <w:r>
        <w:rPr>
          <w:rFonts w:asciiTheme="minorEastAsia" w:hAnsiTheme="minorEastAsia"/>
          <w:color w:val="auto"/>
          <w:sz w:val="24"/>
          <w:szCs w:val="24"/>
          <w:highlight w:val="none"/>
          <w:u w:val="single"/>
        </w:rPr>
        <w:t>名称（单位公章）：</w:t>
      </w:r>
    </w:p>
    <w:p w14:paraId="02FE1B5E">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31BC9E1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w:t>
      </w:r>
    </w:p>
    <w:p w14:paraId="4532257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1.我单位（本人）专指参加政府采购活动的供应商（含自然人）；</w:t>
      </w:r>
    </w:p>
    <w:p w14:paraId="5144E177">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2.资格承诺的供应商应在投标（响应）文件中按此模板提供承诺函，否则，视为未按照招标文件规定提交投标人的资格及资信文件，按资格审查不通过处理。</w:t>
      </w:r>
    </w:p>
    <w:p w14:paraId="227FDC82">
      <w:pPr>
        <w:rPr>
          <w:color w:val="auto"/>
          <w:highlight w:val="none"/>
        </w:rPr>
      </w:pPr>
    </w:p>
    <w:p w14:paraId="7158B0C1">
      <w:pPr>
        <w:rPr>
          <w:color w:val="auto"/>
          <w:highlight w:val="none"/>
        </w:rPr>
        <w:sectPr>
          <w:pgSz w:w="11906" w:h="16838"/>
          <w:pgMar w:top="1418" w:right="1418" w:bottom="1418" w:left="1418" w:header="851" w:footer="992" w:gutter="0"/>
          <w:cols w:space="425" w:num="1"/>
          <w:docGrid w:type="lines" w:linePitch="312" w:charSpace="0"/>
        </w:sectPr>
      </w:pPr>
    </w:p>
    <w:p w14:paraId="41DCC156">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二-2-2 资格证明材料</w:t>
      </w:r>
    </w:p>
    <w:p w14:paraId="4AE32CAB">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营业执照等证明文件</w:t>
      </w:r>
    </w:p>
    <w:p w14:paraId="3044C22F">
      <w:pPr>
        <w:pStyle w:val="54"/>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5A852CC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）投标人为法人（包括企业、事业单位和社会团体）的</w:t>
      </w:r>
    </w:p>
    <w:p w14:paraId="79BBCA03">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现附上由</w:t>
      </w:r>
      <w:r>
        <w:rPr>
          <w:rFonts w:asciiTheme="minorEastAsia" w:hAnsiTheme="minorEastAsia"/>
          <w:color w:val="auto"/>
          <w:sz w:val="24"/>
          <w:szCs w:val="24"/>
          <w:highlight w:val="none"/>
          <w:u w:val="single"/>
        </w:rPr>
        <w:t>（（填写“签发机关全称”）</w:t>
      </w:r>
      <w:r>
        <w:rPr>
          <w:rFonts w:asciiTheme="minorEastAsia" w:hAnsiTheme="minorEastAsia"/>
          <w:color w:val="auto"/>
          <w:sz w:val="24"/>
          <w:szCs w:val="24"/>
          <w:highlight w:val="none"/>
        </w:rPr>
        <w:t>签发的我方统一社会信用代码（请填写法人的具体证照名称）复印件，该证明材料真实有效，否则我方负全部责任。</w:t>
      </w:r>
    </w:p>
    <w:p w14:paraId="27274A4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）投标人为非法人（包括其他组织、自然人）的</w:t>
      </w:r>
    </w:p>
    <w:p w14:paraId="220ABEC7">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□现附上由</w:t>
      </w:r>
      <w:r>
        <w:rPr>
          <w:rFonts w:asciiTheme="minorEastAsia" w:hAnsiTheme="minorEastAsia"/>
          <w:color w:val="auto"/>
          <w:sz w:val="24"/>
          <w:szCs w:val="24"/>
          <w:highlight w:val="none"/>
          <w:u w:val="single"/>
        </w:rPr>
        <w:t>（（填写“签发机关全称”）</w:t>
      </w:r>
      <w:r>
        <w:rPr>
          <w:rFonts w:asciiTheme="minorEastAsia" w:hAnsiTheme="minorEastAsia"/>
          <w:color w:val="auto"/>
          <w:sz w:val="24"/>
          <w:szCs w:val="24"/>
          <w:highlight w:val="none"/>
        </w:rPr>
        <w:t>签发的我方（请填写非自然人的非法人的具体证照名称）复印件，该证明材料真实有效，否则我方负全部责任。</w:t>
      </w:r>
    </w:p>
    <w:p w14:paraId="4CCBC1A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□现附上由</w:t>
      </w:r>
      <w:r>
        <w:rPr>
          <w:rFonts w:asciiTheme="minorEastAsia" w:hAnsiTheme="minorEastAsia"/>
          <w:color w:val="auto"/>
          <w:sz w:val="24"/>
          <w:szCs w:val="24"/>
          <w:highlight w:val="none"/>
          <w:u w:val="single"/>
        </w:rPr>
        <w:t>（（填写“签发机关全称”）</w:t>
      </w:r>
      <w:r>
        <w:rPr>
          <w:rFonts w:asciiTheme="minorEastAsia" w:hAnsiTheme="minorEastAsia"/>
          <w:color w:val="auto"/>
          <w:sz w:val="24"/>
          <w:szCs w:val="24"/>
          <w:highlight w:val="none"/>
        </w:rPr>
        <w:t>签发的我方（请填写自然人的身份证件名称）复印件，该证明材料真实有效，否则我方负全部责任。</w:t>
      </w:r>
    </w:p>
    <w:p w14:paraId="03CDC9A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4119FFD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1、请投标人按照实际情况编制填写，在相应的（）中打“√”并选择相应的“□”（若有）后，再按照本格式的要求提供相应证明材料的复印件。</w:t>
      </w:r>
    </w:p>
    <w:p w14:paraId="546E4C0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412126A7">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1E3C6866">
      <w:pPr>
        <w:pStyle w:val="54"/>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1EB5B184">
      <w:pPr>
        <w:rPr>
          <w:color w:val="auto"/>
          <w:highlight w:val="none"/>
        </w:rPr>
      </w:pPr>
    </w:p>
    <w:p w14:paraId="5DA3B30A">
      <w:pPr>
        <w:rPr>
          <w:color w:val="auto"/>
          <w:highlight w:val="none"/>
        </w:rPr>
        <w:sectPr>
          <w:pgSz w:w="11906" w:h="16838"/>
          <w:pgMar w:top="1418" w:right="1418" w:bottom="1418" w:left="1418" w:header="851" w:footer="992" w:gutter="0"/>
          <w:cols w:space="425" w:num="1"/>
          <w:docGrid w:type="lines" w:linePitch="312" w:charSpace="0"/>
        </w:sectPr>
      </w:pPr>
    </w:p>
    <w:p w14:paraId="36926236">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财务状况报告（财务报告、或资信证明）</w:t>
      </w:r>
    </w:p>
    <w:p w14:paraId="342D824B">
      <w:pPr>
        <w:pStyle w:val="54"/>
        <w:spacing w:line="276"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0DDE6286">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）投标人提供财务报告的</w:t>
      </w:r>
    </w:p>
    <w:p w14:paraId="533134B7">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□企业适用：现附上我方</w:t>
      </w:r>
      <w:r>
        <w:rPr>
          <w:rFonts w:asciiTheme="minorEastAsia" w:hAnsiTheme="minorEastAsia"/>
          <w:color w:val="auto"/>
          <w:sz w:val="24"/>
          <w:szCs w:val="24"/>
          <w:highlight w:val="none"/>
          <w:u w:val="single"/>
        </w:rPr>
        <w:t>（填写“具体的年度、或半年度、季度”）</w:t>
      </w:r>
      <w:r>
        <w:rPr>
          <w:rFonts w:asciiTheme="minorEastAsia" w:hAnsiTheme="minorEastAsia"/>
          <w:color w:val="auto"/>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4C30EA58">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□事业单位适用：现附上我方</w:t>
      </w:r>
      <w:r>
        <w:rPr>
          <w:rFonts w:asciiTheme="minorEastAsia" w:hAnsiTheme="minorEastAsia"/>
          <w:color w:val="auto"/>
          <w:sz w:val="24"/>
          <w:szCs w:val="24"/>
          <w:highlight w:val="none"/>
          <w:u w:val="single"/>
        </w:rPr>
        <w:t>（填写“具体的年度、或半年度、或季度”）</w:t>
      </w:r>
      <w:r>
        <w:rPr>
          <w:rFonts w:asciiTheme="minorEastAsia" w:hAnsiTheme="minorEastAsia"/>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41C6982F">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□社会团体、民办非企适用：现附上我方</w:t>
      </w:r>
      <w:r>
        <w:rPr>
          <w:rFonts w:asciiTheme="minorEastAsia" w:hAnsiTheme="minorEastAsia"/>
          <w:color w:val="auto"/>
          <w:sz w:val="24"/>
          <w:szCs w:val="24"/>
          <w:highlight w:val="none"/>
          <w:u w:val="single"/>
        </w:rPr>
        <w:t>（填写“具体的年度、或半年度、或季度”）</w:t>
      </w:r>
      <w:r>
        <w:rPr>
          <w:rFonts w:asciiTheme="minorEastAsia" w:hAnsiTheme="minorEastAsia"/>
          <w:color w:val="auto"/>
          <w:sz w:val="24"/>
          <w:szCs w:val="24"/>
          <w:highlight w:val="none"/>
        </w:rPr>
        <w:t>财务报告复印件，包括资产负债表、业务活动表、现金流量表、会计师事务所营业执照和注册会计师资格证书，上述证明材料真实有效，否则我方负全部责任。</w:t>
      </w:r>
    </w:p>
    <w:p w14:paraId="635DAD79">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）投标人提供资信证明的</w:t>
      </w:r>
    </w:p>
    <w:p w14:paraId="5C7E3A1D">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□非自然人适用（包括企业、事业单位、社会团体和其他组织）：现附上我方银行：</w:t>
      </w:r>
      <w:r>
        <w:rPr>
          <w:rFonts w:asciiTheme="minorEastAsia" w:hAnsiTheme="minorEastAsia"/>
          <w:color w:val="auto"/>
          <w:sz w:val="24"/>
          <w:szCs w:val="24"/>
          <w:highlight w:val="none"/>
          <w:u w:val="single"/>
        </w:rPr>
        <w:t>（填写“开户银行全称”）</w:t>
      </w:r>
      <w:r>
        <w:rPr>
          <w:rFonts w:asciiTheme="minorEastAsia" w:hAnsiTheme="minorEastAsia"/>
          <w:color w:val="auto"/>
          <w:sz w:val="24"/>
          <w:szCs w:val="24"/>
          <w:highlight w:val="none"/>
        </w:rPr>
        <w:t>出具的资信证明复印件，上述证明材料真实有效，否则我方负全部责任。</w:t>
      </w:r>
    </w:p>
    <w:p w14:paraId="026D149A">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□自然人适用：现附上我方银行</w:t>
      </w:r>
      <w:r>
        <w:rPr>
          <w:rFonts w:asciiTheme="minorEastAsia" w:hAnsiTheme="minorEastAsia"/>
          <w:color w:val="auto"/>
          <w:sz w:val="24"/>
          <w:szCs w:val="24"/>
          <w:highlight w:val="none"/>
          <w:u w:val="single"/>
        </w:rPr>
        <w:t>：（填写自然人的“个人账户的开户银行全称”）</w:t>
      </w:r>
      <w:r>
        <w:rPr>
          <w:rFonts w:asciiTheme="minorEastAsia" w:hAnsiTheme="minorEastAsia"/>
          <w:color w:val="auto"/>
          <w:sz w:val="24"/>
          <w:szCs w:val="24"/>
          <w:highlight w:val="none"/>
        </w:rPr>
        <w:t>出具的资信证明复印件，上述证明材料真实有效，否则我方负全部责任。</w:t>
      </w:r>
    </w:p>
    <w:p w14:paraId="0D2BB8DE">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7516FA7C">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1、请投标人按照实际情况编制填写，在相应的（）中打“√”并选择相应的“□”（若有）后，再按照本格式的要求提供相应证明材料的复印件。</w:t>
      </w:r>
    </w:p>
    <w:p w14:paraId="19B36CDB">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2、投标人提供的财务报告复印件（成立年限按照投标截止时间推算）应符合下列规定：</w:t>
      </w:r>
    </w:p>
    <w:p w14:paraId="7CE1E265">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2.1成立年限满1年及以上的投标人，提供经审计的招标文件规定的年度财务报告。</w:t>
      </w:r>
    </w:p>
    <w:p w14:paraId="0BDD042C">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2.2成立年限满半年但不足1年的投标人，提供该半年度中任一季度的季度财务报告或该半年度的半年度财务报告。</w:t>
      </w:r>
    </w:p>
    <w:p w14:paraId="38C880CC">
      <w:pPr>
        <w:pStyle w:val="54"/>
        <w:spacing w:line="276"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227BD04">
      <w:pPr>
        <w:pStyle w:val="54"/>
        <w:spacing w:line="276"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268E6CB5">
      <w:pPr>
        <w:pStyle w:val="54"/>
        <w:spacing w:line="276"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5458EEF7">
      <w:pPr>
        <w:rPr>
          <w:color w:val="auto"/>
          <w:highlight w:val="none"/>
        </w:rPr>
      </w:pPr>
    </w:p>
    <w:p w14:paraId="3D038BB4">
      <w:pPr>
        <w:rPr>
          <w:color w:val="auto"/>
          <w:highlight w:val="none"/>
        </w:rPr>
        <w:sectPr>
          <w:pgSz w:w="11906" w:h="16838"/>
          <w:pgMar w:top="1418" w:right="1418" w:bottom="1418" w:left="1418" w:header="851" w:footer="992" w:gutter="0"/>
          <w:cols w:space="425" w:num="1"/>
          <w:docGrid w:type="lines" w:linePitch="312" w:charSpace="0"/>
        </w:sectPr>
      </w:pPr>
    </w:p>
    <w:p w14:paraId="65A8F1DF">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依法缴纳税收证明材料</w:t>
      </w:r>
    </w:p>
    <w:p w14:paraId="606B7D3C">
      <w:pPr>
        <w:pStyle w:val="54"/>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02381DB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1、依法缴纳税收的投标人</w:t>
      </w:r>
    </w:p>
    <w:p w14:paraId="34E96F9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）法人（包括企业、事业单位和社会团体）的</w:t>
      </w:r>
    </w:p>
    <w:p w14:paraId="51AAD7D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现附上自</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至</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3F2729E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）非法人（包括其他组织、自然人）的</w:t>
      </w:r>
    </w:p>
    <w:p w14:paraId="23D429E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现附上自</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至</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5FC0C52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2、依法免税的投标人</w:t>
      </w:r>
    </w:p>
    <w:p w14:paraId="19907C1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）现附上我方依法免税的证明材料复印件，上述证明材料真实有效，否则我方负全部责任。</w:t>
      </w:r>
    </w:p>
    <w:p w14:paraId="7DFCFA1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25F1C1B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1、请投标人按照实际情况编制填写，在相应的（）中打“√”，并按照本格式的要求提供相应证明材料的复印件。</w:t>
      </w:r>
    </w:p>
    <w:p w14:paraId="1E4A15C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2、投标人提供的税收缴纳凭据复印件应符合下列规定：</w:t>
      </w:r>
    </w:p>
    <w:p w14:paraId="0AC72A6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2.1投标截止时间前（不含投标截止时间的当月）已依法缴纳税收的投标人，提供投标截止时间前六个月（不含投标截止时间的当月）中任一月份的税收缴纳凭据复印件。</w:t>
      </w:r>
    </w:p>
    <w:p w14:paraId="651696E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2.2投标截止时间的当月成立的投标人，视同满足本项资格条件要求。</w:t>
      </w:r>
    </w:p>
    <w:p w14:paraId="3B3C908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3、若为依法免税范围的投标人，提供依法免税证明材料的，视同满足本项资格条件要求。</w:t>
      </w:r>
    </w:p>
    <w:p w14:paraId="3492D524">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713B741E">
      <w:pPr>
        <w:pStyle w:val="54"/>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20F402D0">
      <w:pPr>
        <w:rPr>
          <w:color w:val="auto"/>
          <w:highlight w:val="none"/>
        </w:rPr>
      </w:pPr>
    </w:p>
    <w:p w14:paraId="6D23AAE6">
      <w:pPr>
        <w:rPr>
          <w:color w:val="auto"/>
          <w:highlight w:val="none"/>
        </w:rPr>
        <w:sectPr>
          <w:pgSz w:w="11906" w:h="16838"/>
          <w:pgMar w:top="1418" w:right="1418" w:bottom="1418" w:left="1418" w:header="851" w:footer="992" w:gutter="0"/>
          <w:cols w:space="425" w:num="1"/>
          <w:docGrid w:type="lines" w:linePitch="312" w:charSpace="0"/>
        </w:sectPr>
      </w:pPr>
    </w:p>
    <w:p w14:paraId="780DAB98">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依法缴纳社会保障资金证明材料</w:t>
      </w:r>
    </w:p>
    <w:p w14:paraId="78CD76D0">
      <w:pPr>
        <w:pStyle w:val="54"/>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504BD3A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1、依法缴纳社会保障资金的投标人</w:t>
      </w:r>
    </w:p>
    <w:p w14:paraId="257C911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）法人（包括企业、事业单位和社会团体）的</w:t>
      </w:r>
    </w:p>
    <w:p w14:paraId="2CE8CD3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现附上自</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至</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1231F98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）非法人（包括其他组织、自然人）的</w:t>
      </w:r>
    </w:p>
    <w:p w14:paraId="22D3D79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自</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至</w:t>
      </w:r>
      <w:r>
        <w:rPr>
          <w:rFonts w:asciiTheme="minorEastAsia" w:hAnsiTheme="minorEastAsia"/>
          <w:color w:val="auto"/>
          <w:sz w:val="24"/>
          <w:szCs w:val="24"/>
          <w:highlight w:val="none"/>
          <w:u w:val="single"/>
        </w:rPr>
        <w:t>　　年　　月　　日</w:t>
      </w:r>
      <w:r>
        <w:rPr>
          <w:rFonts w:asciiTheme="minorEastAsia" w:hAnsiTheme="minorEastAsia"/>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43D5279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2、依法不需要缴纳或暂缓缴纳社会保障资金的投标人</w:t>
      </w:r>
    </w:p>
    <w:p w14:paraId="66BA50F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）现附上我方依法不需要缴纳或暂缓缴纳社会保障资金证明材料复印件，上述证明材料真实有效，否则我方负全部责任。</w:t>
      </w:r>
    </w:p>
    <w:p w14:paraId="2F2B17ED">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58969F5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1、请投标人按照实际情况编制填写，在相应的（）中打“√”，并按照本格式的要求提供相应证明材料的复印件。</w:t>
      </w:r>
    </w:p>
    <w:p w14:paraId="29A26AF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2、投标人提供的社会保障资金缴纳凭据复印件应符合下列规定：</w:t>
      </w:r>
    </w:p>
    <w:p w14:paraId="09ABD3C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456BA7EC">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2.2投标截止时间的当月成立的投标人，视同满足本项资格条件要求。</w:t>
      </w:r>
    </w:p>
    <w:p w14:paraId="42845983">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3、若为依法不需要缴纳或暂缓缴纳社会保障资金的投标人，提供依法不需要缴纳或暂缓缴纳社会保障资金证明材料的，视同满足本项资格条件要求。</w:t>
      </w:r>
    </w:p>
    <w:p w14:paraId="631B78C4">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699145A8">
      <w:pPr>
        <w:pStyle w:val="54"/>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5C8B199C">
      <w:pPr>
        <w:rPr>
          <w:color w:val="auto"/>
          <w:highlight w:val="none"/>
        </w:rPr>
      </w:pPr>
    </w:p>
    <w:p w14:paraId="17EF2ED7">
      <w:pPr>
        <w:rPr>
          <w:color w:val="auto"/>
          <w:highlight w:val="none"/>
        </w:rPr>
        <w:sectPr>
          <w:pgSz w:w="11906" w:h="16838"/>
          <w:pgMar w:top="1418" w:right="1418" w:bottom="1418" w:left="1418" w:header="851" w:footer="992" w:gutter="0"/>
          <w:cols w:space="425" w:num="1"/>
          <w:docGrid w:type="lines" w:linePitch="312" w:charSpace="0"/>
        </w:sectPr>
      </w:pPr>
    </w:p>
    <w:p w14:paraId="080937E1">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具备履行合同所必需设备和专业技术能力的声明函（若有）</w:t>
      </w:r>
    </w:p>
    <w:p w14:paraId="4D08BF58">
      <w:pPr>
        <w:pStyle w:val="54"/>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67E7D7A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我方具备履行合同所必需的设备和专业技术能力，否则产生不利后果由我方承担责任。</w:t>
      </w:r>
    </w:p>
    <w:p w14:paraId="05FBA60D">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特此声明。</w:t>
      </w:r>
    </w:p>
    <w:p w14:paraId="3D4982B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070F24B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1、招标文件未要求投标人提供“具备履行合同所必需的设备和专业技术能力专项证明材料”的，投标人应提供本声明函。</w:t>
      </w:r>
    </w:p>
    <w:p w14:paraId="094845A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2、招标文件要求投标人提供“具备履行合同所必需的设备和专业技术能力专项证明材料”的，投标人可不提供本声明函。</w:t>
      </w:r>
    </w:p>
    <w:p w14:paraId="382C491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3、请投标人根据实际情况如实声明，否则视为提供虚假材料。</w:t>
      </w:r>
    </w:p>
    <w:p w14:paraId="20991481">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31E989F0">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6EF39088">
      <w:pPr>
        <w:rPr>
          <w:color w:val="auto"/>
          <w:highlight w:val="none"/>
        </w:rPr>
      </w:pPr>
    </w:p>
    <w:p w14:paraId="69F2B223">
      <w:pPr>
        <w:rPr>
          <w:color w:val="auto"/>
          <w:highlight w:val="none"/>
        </w:rPr>
        <w:sectPr>
          <w:pgSz w:w="11906" w:h="16838"/>
          <w:pgMar w:top="1418" w:right="1418" w:bottom="1418" w:left="1418" w:header="851" w:footer="992" w:gutter="0"/>
          <w:cols w:space="425" w:num="1"/>
          <w:docGrid w:type="lines" w:linePitch="312" w:charSpace="0"/>
        </w:sectPr>
      </w:pPr>
    </w:p>
    <w:p w14:paraId="3605D578">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参加采购活动前三年内在经营活动中没有重大违法记录书面声明</w:t>
      </w:r>
    </w:p>
    <w:p w14:paraId="3627B5B0">
      <w:pPr>
        <w:pStyle w:val="54"/>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699CD71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BCFBE63">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特此声明。</w:t>
      </w:r>
    </w:p>
    <w:p w14:paraId="75D27F7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5312C5E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A73CD0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请投标人根据实际情况如实声明，否则视为提供虚假材料。</w:t>
      </w:r>
    </w:p>
    <w:p w14:paraId="2EFF0C01">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51D4CEA2">
      <w:pPr>
        <w:pStyle w:val="54"/>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2883BED5">
      <w:pPr>
        <w:rPr>
          <w:color w:val="auto"/>
          <w:highlight w:val="none"/>
        </w:rPr>
      </w:pPr>
    </w:p>
    <w:p w14:paraId="58CB47A9">
      <w:pPr>
        <w:rPr>
          <w:color w:val="auto"/>
          <w:highlight w:val="none"/>
        </w:rPr>
        <w:sectPr>
          <w:pgSz w:w="11906" w:h="16838"/>
          <w:pgMar w:top="1418" w:right="1418" w:bottom="1418" w:left="1418" w:header="851" w:footer="992" w:gutter="0"/>
          <w:cols w:space="425" w:num="1"/>
          <w:docGrid w:type="lines" w:linePitch="312" w:charSpace="0"/>
        </w:sectPr>
      </w:pPr>
    </w:p>
    <w:p w14:paraId="40A12894">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二-3信用记录查询提示</w:t>
      </w:r>
    </w:p>
    <w:p w14:paraId="7429A2A7">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1、由资格审查小组通过网站查询并打印投标人的信用记录。</w:t>
      </w:r>
    </w:p>
    <w:p w14:paraId="6DF1DF2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经查询，投标人参加本项目采购活动（投标截止时间）前三年内被列入失信被执行人名单、重大税收违法失信主体名单、政府采购严重违法失信行为记录名单及其他重大违法记录且相关信用惩戒期限未满的，其资格审查不合格。</w:t>
      </w:r>
    </w:p>
    <w:p w14:paraId="2C34177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5DD60AC">
      <w:pPr>
        <w:rPr>
          <w:color w:val="auto"/>
          <w:highlight w:val="none"/>
        </w:rPr>
      </w:pPr>
    </w:p>
    <w:p w14:paraId="6E15AF04">
      <w:pPr>
        <w:rPr>
          <w:color w:val="auto"/>
          <w:highlight w:val="none"/>
        </w:rPr>
        <w:sectPr>
          <w:pgSz w:w="11906" w:h="16838"/>
          <w:pgMar w:top="1418" w:right="1418" w:bottom="1418" w:left="1418" w:header="851" w:footer="992" w:gutter="0"/>
          <w:cols w:space="425" w:num="1"/>
          <w:docGrid w:type="lines" w:linePitch="312" w:charSpace="0"/>
        </w:sectPr>
      </w:pPr>
    </w:p>
    <w:p w14:paraId="4B25455E">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二-4中小企业声明函</w:t>
      </w:r>
    </w:p>
    <w:p w14:paraId="360B6F80">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（以资格条件落实中小企业扶持政策时适用，若有）</w:t>
      </w:r>
    </w:p>
    <w:p w14:paraId="220CC613">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中小企业声明函（货物）</w:t>
      </w:r>
    </w:p>
    <w:p w14:paraId="54AB0FC7">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本公司（联合体）郑重声明，根据《政府采购促进中小企业发展管理办法》（财库﹝2020﹞46 号）的规定，本公司（联合体）参加</w:t>
      </w:r>
      <w:r>
        <w:rPr>
          <w:rFonts w:asciiTheme="minorEastAsia" w:hAnsiTheme="minorEastAsia"/>
          <w:color w:val="auto"/>
          <w:sz w:val="24"/>
          <w:szCs w:val="24"/>
          <w:highlight w:val="none"/>
          <w:u w:val="single"/>
        </w:rPr>
        <w:t>（单位名称）</w:t>
      </w:r>
      <w:r>
        <w:rPr>
          <w:rFonts w:asciiTheme="minorEastAsia" w:hAnsiTheme="minorEastAsia"/>
          <w:color w:val="auto"/>
          <w:sz w:val="24"/>
          <w:szCs w:val="24"/>
          <w:highlight w:val="none"/>
        </w:rPr>
        <w:t>的</w:t>
      </w:r>
      <w:r>
        <w:rPr>
          <w:rFonts w:asciiTheme="minorEastAsia" w:hAnsiTheme="minorEastAsia"/>
          <w:color w:val="auto"/>
          <w:sz w:val="24"/>
          <w:szCs w:val="24"/>
          <w:highlight w:val="none"/>
          <w:u w:val="single"/>
        </w:rPr>
        <w:t>（项目名称）</w:t>
      </w:r>
      <w:r>
        <w:rPr>
          <w:rFonts w:asciiTheme="minorEastAsia" w:hAnsiTheme="minorEastAsia"/>
          <w:color w:val="auto"/>
          <w:sz w:val="24"/>
          <w:szCs w:val="24"/>
          <w:highlight w:val="none"/>
        </w:rPr>
        <w:t>采购活动，提供的货物全部由符合政策要求的中小企业制造。相关企业（含联合体中的中小企业、签订分包意向协议的中小企业）的具体情况如下：</w:t>
      </w:r>
    </w:p>
    <w:p w14:paraId="6430321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r>
        <w:rPr>
          <w:rFonts w:asciiTheme="minorEastAsia" w:hAnsiTheme="minorEastAsia"/>
          <w:color w:val="auto"/>
          <w:sz w:val="24"/>
          <w:szCs w:val="24"/>
          <w:highlight w:val="none"/>
          <w:u w:val="single"/>
        </w:rPr>
        <w:t xml:space="preserve"> （标的名称） </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行业；制造商为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万元¹，属于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6AB7249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w:t>
      </w:r>
      <w:r>
        <w:rPr>
          <w:rFonts w:asciiTheme="minorEastAsia" w:hAnsiTheme="minorEastAsia"/>
          <w:color w:val="auto"/>
          <w:sz w:val="24"/>
          <w:szCs w:val="24"/>
          <w:highlight w:val="none"/>
          <w:u w:val="single"/>
        </w:rPr>
        <w:t xml:space="preserve"> （标的名称） </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行业；制造商为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20BA251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1A9988CC">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以上企业，不属于大企业的分支机构，不存在控股股东为大企业的情形，也不存在与大企业的负责人为同一人的情形。</w:t>
      </w:r>
    </w:p>
    <w:p w14:paraId="1A38851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本企业对上述声明内容的真实性负责。如有虚假，将依法承担相应责任。</w:t>
      </w:r>
    </w:p>
    <w:p w14:paraId="5FFDF79B">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3FACCE7E">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2E8E265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4EF62B1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1、从业人员、营业收入、资产总额填报上一年度数据，无上一年度数据的新成立企业可不填报。</w:t>
      </w:r>
    </w:p>
    <w:p w14:paraId="6A3D3267">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3F1B23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AEF6636">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中小企业声明函（工程、服务）</w:t>
      </w:r>
    </w:p>
    <w:p w14:paraId="565061F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本公司（联合体）郑重声明，根据《政府采购促进中小企业发展管理办法》（财库﹝2020﹞46 号）的规定，本公司（联合体）参加</w:t>
      </w:r>
      <w:r>
        <w:rPr>
          <w:rFonts w:asciiTheme="minorEastAsia" w:hAnsiTheme="minorEastAsia"/>
          <w:color w:val="auto"/>
          <w:sz w:val="24"/>
          <w:szCs w:val="24"/>
          <w:highlight w:val="none"/>
          <w:u w:val="single"/>
        </w:rPr>
        <w:t>（单位名称）</w:t>
      </w:r>
      <w:r>
        <w:rPr>
          <w:rFonts w:asciiTheme="minorEastAsia" w:hAnsiTheme="minorEastAsia"/>
          <w:color w:val="auto"/>
          <w:sz w:val="24"/>
          <w:szCs w:val="24"/>
          <w:highlight w:val="none"/>
        </w:rPr>
        <w:t>的</w:t>
      </w:r>
      <w:r>
        <w:rPr>
          <w:rFonts w:asciiTheme="minorEastAsia" w:hAnsiTheme="minorEastAsia"/>
          <w:color w:val="auto"/>
          <w:sz w:val="24"/>
          <w:szCs w:val="24"/>
          <w:highlight w:val="none"/>
          <w:u w:val="single"/>
        </w:rPr>
        <w:t>（项目名称）</w:t>
      </w:r>
      <w:r>
        <w:rPr>
          <w:rFonts w:asciiTheme="minorEastAsia" w:hAnsiTheme="minorEastAsia"/>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DE7D9D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r>
        <w:rPr>
          <w:rFonts w:asciiTheme="minorEastAsia" w:hAnsiTheme="minorEastAsia"/>
          <w:color w:val="auto"/>
          <w:sz w:val="24"/>
          <w:szCs w:val="24"/>
          <w:highlight w:val="none"/>
          <w:u w:val="single"/>
        </w:rPr>
        <w:t>（标的名称）</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；承建（承接）企业为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万元¹，属于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179FBAC3">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w:t>
      </w:r>
      <w:r>
        <w:rPr>
          <w:rFonts w:asciiTheme="minorEastAsia" w:hAnsiTheme="minorEastAsia"/>
          <w:color w:val="auto"/>
          <w:sz w:val="24"/>
          <w:szCs w:val="24"/>
          <w:highlight w:val="none"/>
          <w:u w:val="single"/>
        </w:rPr>
        <w:t>（标的名称）</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；承建（承接）企业为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28E3F4A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0544888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以上企业，不属于大企业的分支机构，不存在控股股东为大企业的情形，也不存在与大企业的负责人为同一人的情形。</w:t>
      </w:r>
    </w:p>
    <w:p w14:paraId="17642EB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本企业对上述声明内容的真实性负责。如有虚假，将依法承担相应责任。</w:t>
      </w:r>
    </w:p>
    <w:p w14:paraId="5D5948BF">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124AE43A">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5D9378B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6DCBB07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1、从业人员、营业收入、资产总额填报上一年度数据，无上一年度数据的新成立企业可不填报。</w:t>
      </w:r>
    </w:p>
    <w:p w14:paraId="1F61640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422026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EE1BD82">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残疾人福利性单位声明函</w:t>
      </w:r>
    </w:p>
    <w:p w14:paraId="50E25AD8">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（以资格条件落实中小企业扶持政策时适用，若有）</w:t>
      </w:r>
    </w:p>
    <w:p w14:paraId="10BE3AAC">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54BAED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025987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）由本投标人承建的（填写“所投采购包、品目号”）工程</w:t>
      </w:r>
    </w:p>
    <w:p w14:paraId="0126A91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）由本投标人承接的（填写“所投采购包、品目号”）服务；</w:t>
      </w:r>
    </w:p>
    <w:p w14:paraId="464ADE9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本投标人对上述声明的真实性负责。如有虚假，将依法承担相应责任。</w:t>
      </w:r>
    </w:p>
    <w:p w14:paraId="57F9FF1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w:t>
      </w:r>
    </w:p>
    <w:p w14:paraId="3C4EF9D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1、请投标人按照实际情况编制填写本声明函，并在相应的（）中打“√”。</w:t>
      </w:r>
    </w:p>
    <w:p w14:paraId="27CA87A7">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2、若《残疾人福利性单位声明函》内容不真实，视为提供虚假材料。</w:t>
      </w:r>
    </w:p>
    <w:p w14:paraId="1A1BD72C">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46B57B9B">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35D6FE7C">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附：</w:t>
      </w:r>
    </w:p>
    <w:p w14:paraId="7113CB8D">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监狱企业证明材料</w:t>
      </w:r>
    </w:p>
    <w:p w14:paraId="10514C9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071C74DC">
      <w:pPr>
        <w:rPr>
          <w:color w:val="auto"/>
          <w:highlight w:val="none"/>
        </w:rPr>
        <w:sectPr>
          <w:pgSz w:w="11906" w:h="16838"/>
          <w:pgMar w:top="1418" w:right="1418" w:bottom="1418" w:left="1418" w:header="851" w:footer="992" w:gutter="0"/>
          <w:cols w:space="425" w:num="1"/>
          <w:docGrid w:type="lines" w:linePitch="312" w:charSpace="0"/>
        </w:sectPr>
      </w:pPr>
    </w:p>
    <w:p w14:paraId="1DAA4F53">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二-5联合体协议（若有）</w:t>
      </w:r>
    </w:p>
    <w:p w14:paraId="0D241E6A">
      <w:pPr>
        <w:pStyle w:val="54"/>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致：</w:t>
      </w:r>
      <w:r>
        <w:rPr>
          <w:rFonts w:asciiTheme="minorEastAsia" w:hAnsiTheme="minorEastAsia"/>
          <w:color w:val="auto"/>
          <w:sz w:val="24"/>
          <w:szCs w:val="24"/>
          <w:highlight w:val="none"/>
          <w:u w:val="single"/>
        </w:rPr>
        <w:t>（采购人或采购代理机构）</w:t>
      </w:r>
    </w:p>
    <w:p w14:paraId="6443AD53">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兹有</w:t>
      </w:r>
      <w:r>
        <w:rPr>
          <w:rFonts w:asciiTheme="minorEastAsia" w:hAnsiTheme="minorEastAsia"/>
          <w:color w:val="auto"/>
          <w:sz w:val="24"/>
          <w:szCs w:val="24"/>
          <w:highlight w:val="none"/>
          <w:u w:val="single"/>
        </w:rPr>
        <w:t>（填写“联合体中各方的全称”，各方的全称之间请用“、”分割）</w:t>
      </w:r>
      <w:r>
        <w:rPr>
          <w:rFonts w:asciiTheme="minorEastAsia" w:hAnsiTheme="minorEastAsia"/>
          <w:color w:val="auto"/>
          <w:sz w:val="24"/>
          <w:szCs w:val="24"/>
          <w:highlight w:val="none"/>
        </w:rPr>
        <w:t>自愿组成联合体，共同参加</w:t>
      </w:r>
      <w:r>
        <w:rPr>
          <w:rFonts w:asciiTheme="minorEastAsia" w:hAnsiTheme="minorEastAsia"/>
          <w:color w:val="auto"/>
          <w:sz w:val="24"/>
          <w:szCs w:val="24"/>
          <w:highlight w:val="none"/>
          <w:u w:val="single"/>
        </w:rPr>
        <w:t>（填写“项目名称”）</w:t>
      </w:r>
      <w:r>
        <w:rPr>
          <w:rFonts w:asciiTheme="minorEastAsia" w:hAnsiTheme="minorEastAsia"/>
          <w:color w:val="auto"/>
          <w:sz w:val="24"/>
          <w:szCs w:val="24"/>
          <w:highlight w:val="none"/>
        </w:rPr>
        <w:t xml:space="preserve"> 项目（项目编号：</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）的投标。现就联合体参加本项目投标的有关事宜达成下列协议：</w:t>
      </w:r>
    </w:p>
    <w:p w14:paraId="3D6DB15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一、联合体各方应承担的工作和义务具体如下：</w:t>
      </w:r>
    </w:p>
    <w:p w14:paraId="7B24F2ED">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1、牵头方（全称）：</w:t>
      </w:r>
      <w:r>
        <w:rPr>
          <w:rFonts w:asciiTheme="minorEastAsia" w:hAnsiTheme="minorEastAsia"/>
          <w:color w:val="auto"/>
          <w:sz w:val="24"/>
          <w:szCs w:val="24"/>
          <w:highlight w:val="none"/>
          <w:u w:val="single"/>
        </w:rPr>
        <w:t xml:space="preserve">（填写“工作及义务的具体内容”） </w:t>
      </w:r>
      <w:r>
        <w:rPr>
          <w:rFonts w:asciiTheme="minorEastAsia" w:hAnsiTheme="minorEastAsia"/>
          <w:color w:val="auto"/>
          <w:sz w:val="24"/>
          <w:szCs w:val="24"/>
          <w:highlight w:val="none"/>
        </w:rPr>
        <w:t>；</w:t>
      </w:r>
    </w:p>
    <w:p w14:paraId="655D8DA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2、成员方：</w:t>
      </w:r>
    </w:p>
    <w:p w14:paraId="4530BC1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2.1（成员一的全称）：</w:t>
      </w:r>
      <w:r>
        <w:rPr>
          <w:rFonts w:asciiTheme="minorEastAsia" w:hAnsiTheme="minorEastAsia"/>
          <w:color w:val="auto"/>
          <w:sz w:val="24"/>
          <w:szCs w:val="24"/>
          <w:highlight w:val="none"/>
          <w:u w:val="single"/>
        </w:rPr>
        <w:t>（填写“工作及义务的具体内容”）</w:t>
      </w:r>
      <w:r>
        <w:rPr>
          <w:rFonts w:asciiTheme="minorEastAsia" w:hAnsiTheme="minorEastAsia"/>
          <w:color w:val="auto"/>
          <w:sz w:val="24"/>
          <w:szCs w:val="24"/>
          <w:highlight w:val="none"/>
        </w:rPr>
        <w:t xml:space="preserve"> ；</w:t>
      </w:r>
    </w:p>
    <w:p w14:paraId="55B137C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59267CA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二、联合体各方的合同金额占比，具体如下：</w:t>
      </w:r>
    </w:p>
    <w:p w14:paraId="1569EC7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1.牵头方（</w:t>
      </w:r>
      <w:r>
        <w:rPr>
          <w:rFonts w:asciiTheme="minorEastAsia" w:hAnsiTheme="minorEastAsia"/>
          <w:color w:val="auto"/>
          <w:sz w:val="24"/>
          <w:szCs w:val="24"/>
          <w:highlight w:val="none"/>
          <w:u w:val="single"/>
        </w:rPr>
        <w:t xml:space="preserve"> 全称</w:t>
      </w:r>
      <w:r>
        <w:rPr>
          <w:rFonts w:asciiTheme="minorEastAsia" w:hAnsiTheme="minorEastAsia"/>
          <w:color w:val="auto"/>
          <w:sz w:val="24"/>
          <w:szCs w:val="24"/>
          <w:highlight w:val="none"/>
        </w:rPr>
        <w:t xml:space="preserve"> ）的合同金额占合同总额的</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w:t>
      </w:r>
    </w:p>
    <w:p w14:paraId="32752917">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2.成员方：</w:t>
      </w:r>
    </w:p>
    <w:p w14:paraId="61FCFC6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2.1（</w:t>
      </w:r>
      <w:r>
        <w:rPr>
          <w:rFonts w:asciiTheme="minorEastAsia" w:hAnsiTheme="minorEastAsia"/>
          <w:color w:val="auto"/>
          <w:sz w:val="24"/>
          <w:szCs w:val="24"/>
          <w:highlight w:val="none"/>
          <w:u w:val="single"/>
        </w:rPr>
        <w:t xml:space="preserve"> 成员1的全称 </w:t>
      </w:r>
      <w:r>
        <w:rPr>
          <w:rFonts w:asciiTheme="minorEastAsia" w:hAnsiTheme="minorEastAsia"/>
          <w:color w:val="auto"/>
          <w:sz w:val="24"/>
          <w:szCs w:val="24"/>
          <w:highlight w:val="none"/>
        </w:rPr>
        <w:t>）的合同金额占合同总额的</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w:t>
      </w:r>
    </w:p>
    <w:p w14:paraId="557CE05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4FA6D3F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三、联合体各方约定：</w:t>
      </w:r>
    </w:p>
    <w:p w14:paraId="2F47605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1、由</w:t>
      </w:r>
      <w:r>
        <w:rPr>
          <w:rFonts w:asciiTheme="minorEastAsia" w:hAnsiTheme="minorEastAsia"/>
          <w:color w:val="auto"/>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2BE2DB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2、联合体各方约定由</w:t>
      </w:r>
      <w:r>
        <w:rPr>
          <w:rFonts w:asciiTheme="minorEastAsia" w:hAnsiTheme="minorEastAsia"/>
          <w:color w:val="auto"/>
          <w:sz w:val="24"/>
          <w:szCs w:val="24"/>
          <w:highlight w:val="none"/>
          <w:u w:val="single"/>
        </w:rPr>
        <w:t>（填写“牵头方的全称”）代表联合体办理投标保证金事宜。</w:t>
      </w:r>
    </w:p>
    <w:p w14:paraId="5A7E200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FDB4D2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27BA255D">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五、本协议自签署之日起生效，政府采购合同履行完毕后自动失效。</w:t>
      </w:r>
    </w:p>
    <w:p w14:paraId="7666892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六、本协议一式</w:t>
      </w:r>
      <w:r>
        <w:rPr>
          <w:rFonts w:asciiTheme="minorEastAsia" w:hAnsiTheme="minorEastAsia"/>
          <w:color w:val="auto"/>
          <w:sz w:val="24"/>
          <w:szCs w:val="24"/>
          <w:highlight w:val="none"/>
          <w:u w:val="single"/>
        </w:rPr>
        <w:t>（填写具体份数）</w:t>
      </w:r>
      <w:r>
        <w:rPr>
          <w:rFonts w:asciiTheme="minorEastAsia" w:hAnsiTheme="minorEastAsia"/>
          <w:color w:val="auto"/>
          <w:sz w:val="24"/>
          <w:szCs w:val="24"/>
          <w:highlight w:val="none"/>
        </w:rPr>
        <w:t>份，联合体各方各执一份，电子投标文件中提交一份。</w:t>
      </w:r>
    </w:p>
    <w:p w14:paraId="374FD6E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（以下无正文）</w:t>
      </w:r>
    </w:p>
    <w:p w14:paraId="5F72251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牵头方：</w:t>
      </w:r>
      <w:r>
        <w:rPr>
          <w:rFonts w:asciiTheme="minorEastAsia" w:hAnsiTheme="minorEastAsia"/>
          <w:color w:val="auto"/>
          <w:sz w:val="24"/>
          <w:szCs w:val="24"/>
          <w:highlight w:val="none"/>
          <w:u w:val="single"/>
        </w:rPr>
        <w:t>（全称并加盖单位公章）</w:t>
      </w:r>
    </w:p>
    <w:p w14:paraId="7F9DE61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法定代表人或其委托代理人：</w:t>
      </w:r>
      <w:r>
        <w:rPr>
          <w:rFonts w:asciiTheme="minorEastAsia" w:hAnsiTheme="minorEastAsia"/>
          <w:color w:val="auto"/>
          <w:sz w:val="24"/>
          <w:szCs w:val="24"/>
          <w:highlight w:val="none"/>
          <w:u w:val="single"/>
        </w:rPr>
        <w:t xml:space="preserve"> （签字或盖章）</w:t>
      </w:r>
    </w:p>
    <w:p w14:paraId="6D637F9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成员一：</w:t>
      </w:r>
      <w:r>
        <w:rPr>
          <w:rFonts w:asciiTheme="minorEastAsia" w:hAnsiTheme="minorEastAsia"/>
          <w:color w:val="auto"/>
          <w:sz w:val="24"/>
          <w:szCs w:val="24"/>
          <w:highlight w:val="none"/>
          <w:u w:val="single"/>
        </w:rPr>
        <w:t>（全称并加盖成员一的单位公章）</w:t>
      </w:r>
    </w:p>
    <w:p w14:paraId="097AA38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法定代表人或其委托代理人：</w:t>
      </w:r>
      <w:r>
        <w:rPr>
          <w:rFonts w:asciiTheme="minorEastAsia" w:hAnsiTheme="minorEastAsia"/>
          <w:color w:val="auto"/>
          <w:sz w:val="24"/>
          <w:szCs w:val="24"/>
          <w:highlight w:val="none"/>
          <w:u w:val="single"/>
        </w:rPr>
        <w:t xml:space="preserve"> （签字或盖章）</w:t>
      </w:r>
    </w:p>
    <w:p w14:paraId="4A049BA7">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063C2F4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成员**：</w:t>
      </w:r>
      <w:r>
        <w:rPr>
          <w:rFonts w:asciiTheme="minorEastAsia" w:hAnsiTheme="minorEastAsia"/>
          <w:color w:val="auto"/>
          <w:sz w:val="24"/>
          <w:szCs w:val="24"/>
          <w:highlight w:val="none"/>
          <w:u w:val="single"/>
        </w:rPr>
        <w:t>（全称并加盖成员**的单位公章）</w:t>
      </w:r>
    </w:p>
    <w:p w14:paraId="56FA23B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法定代表人或其委托代理人：</w:t>
      </w:r>
      <w:r>
        <w:rPr>
          <w:rFonts w:asciiTheme="minorEastAsia" w:hAnsiTheme="minorEastAsia"/>
          <w:color w:val="auto"/>
          <w:sz w:val="24"/>
          <w:szCs w:val="24"/>
          <w:highlight w:val="none"/>
          <w:u w:val="single"/>
        </w:rPr>
        <w:t xml:space="preserve"> （签字或盖章）</w:t>
      </w:r>
    </w:p>
    <w:p w14:paraId="79E95150">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签署日期：</w:t>
      </w:r>
      <w:r>
        <w:rPr>
          <w:rFonts w:asciiTheme="minorEastAsia" w:hAnsiTheme="minorEastAsia"/>
          <w:color w:val="auto"/>
          <w:sz w:val="24"/>
          <w:szCs w:val="24"/>
          <w:highlight w:val="none"/>
          <w:u w:val="single"/>
        </w:rPr>
        <w:t>　　年　　月　　日</w:t>
      </w:r>
    </w:p>
    <w:p w14:paraId="5D5A350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0407728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1、招标文件接受联合体投标且投标人为联合体的，投标人应提供本协议；否则无须提供。</w:t>
      </w:r>
    </w:p>
    <w:p w14:paraId="6A366A0D">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2、本协议由委托代理人签字或盖章的，应按照本章载明的格式提供“单位授权书”。</w:t>
      </w:r>
    </w:p>
    <w:p w14:paraId="39738F9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3、在以联合体形式落实中小企业预留份额项目中，投标人除了要提供《中小企业声明函》，还需提供本协议。</w:t>
      </w:r>
    </w:p>
    <w:p w14:paraId="181C197F">
      <w:pPr>
        <w:rPr>
          <w:color w:val="auto"/>
          <w:highlight w:val="none"/>
        </w:rPr>
      </w:pPr>
    </w:p>
    <w:p w14:paraId="3495D9ED">
      <w:pPr>
        <w:rPr>
          <w:color w:val="auto"/>
          <w:highlight w:val="none"/>
        </w:rPr>
        <w:sectPr>
          <w:pgSz w:w="11906" w:h="16838"/>
          <w:pgMar w:top="1418" w:right="1418" w:bottom="1418" w:left="1418" w:header="851" w:footer="992" w:gutter="0"/>
          <w:cols w:space="425" w:num="1"/>
          <w:docGrid w:type="lines" w:linePitch="312" w:charSpace="0"/>
        </w:sectPr>
      </w:pPr>
    </w:p>
    <w:p w14:paraId="6D111F8C">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二-6分包意向协议（若有）</w:t>
      </w:r>
    </w:p>
    <w:p w14:paraId="5827C6F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甲方（总包方）：</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（即本项目的投标人）</w:t>
      </w:r>
    </w:p>
    <w:p w14:paraId="74C09B2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乙方（分包方）：</w:t>
      </w:r>
      <w:r>
        <w:rPr>
          <w:rFonts w:asciiTheme="minorEastAsia" w:hAnsiTheme="minorEastAsia"/>
          <w:color w:val="auto"/>
          <w:sz w:val="24"/>
          <w:szCs w:val="24"/>
          <w:highlight w:val="none"/>
          <w:u w:val="single"/>
        </w:rPr>
        <w:t>　　　　　　　</w:t>
      </w:r>
    </w:p>
    <w:p w14:paraId="7D680DF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兹有甲方参加</w:t>
      </w:r>
      <w:r>
        <w:rPr>
          <w:rFonts w:asciiTheme="minorEastAsia" w:hAnsiTheme="minorEastAsia"/>
          <w:color w:val="auto"/>
          <w:sz w:val="24"/>
          <w:szCs w:val="24"/>
          <w:highlight w:val="none"/>
          <w:u w:val="single"/>
        </w:rPr>
        <w:t>（填写“项目名称”）</w:t>
      </w:r>
      <w:r>
        <w:rPr>
          <w:rFonts w:asciiTheme="minorEastAsia" w:hAnsiTheme="minorEastAsia"/>
          <w:color w:val="auto"/>
          <w:sz w:val="24"/>
          <w:szCs w:val="24"/>
          <w:highlight w:val="none"/>
        </w:rPr>
        <w:t xml:space="preserve"> 项目（项目编号：</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140301DC">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一、分包标的</w:t>
      </w:r>
    </w:p>
    <w:p w14:paraId="5DB3A82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u w:val="single"/>
        </w:rPr>
        <w:t>（根据双方的意向填写，可以是表格或文字描述）。</w:t>
      </w:r>
    </w:p>
    <w:p w14:paraId="68F3E41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二、分包合同金额占比</w:t>
      </w:r>
    </w:p>
    <w:p w14:paraId="15D6493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分包合同价占投标总价的比例：</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w:t>
      </w:r>
    </w:p>
    <w:p w14:paraId="25FE5AF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三、其他条款</w:t>
      </w:r>
    </w:p>
    <w:p w14:paraId="0EA0268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F159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71960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甲方：</w:t>
            </w:r>
          </w:p>
        </w:tc>
        <w:tc>
          <w:tcPr>
            <w:tcW w:w="4153" w:type="dxa"/>
          </w:tcPr>
          <w:p w14:paraId="5924A0C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乙方：</w:t>
            </w:r>
          </w:p>
        </w:tc>
      </w:tr>
      <w:tr w14:paraId="3A27D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86E69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住所：</w:t>
            </w:r>
          </w:p>
        </w:tc>
        <w:tc>
          <w:tcPr>
            <w:tcW w:w="4153" w:type="dxa"/>
          </w:tcPr>
          <w:p w14:paraId="3DF76673">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住所：</w:t>
            </w:r>
          </w:p>
        </w:tc>
      </w:tr>
      <w:tr w14:paraId="6AB29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0C5E6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单位负责人或委托代理人：</w:t>
            </w:r>
          </w:p>
        </w:tc>
        <w:tc>
          <w:tcPr>
            <w:tcW w:w="4153" w:type="dxa"/>
          </w:tcPr>
          <w:p w14:paraId="0474591D">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单位负责人或委托代理人：</w:t>
            </w:r>
          </w:p>
        </w:tc>
      </w:tr>
      <w:tr w14:paraId="2FD12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8AE31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联系方法：</w:t>
            </w:r>
          </w:p>
        </w:tc>
        <w:tc>
          <w:tcPr>
            <w:tcW w:w="4153" w:type="dxa"/>
          </w:tcPr>
          <w:p w14:paraId="7EFFE84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联系方法：</w:t>
            </w:r>
          </w:p>
        </w:tc>
      </w:tr>
      <w:tr w14:paraId="3AFA5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08FC70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开户银行：</w:t>
            </w:r>
          </w:p>
        </w:tc>
        <w:tc>
          <w:tcPr>
            <w:tcW w:w="4153" w:type="dxa"/>
          </w:tcPr>
          <w:p w14:paraId="225B790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开户银行：</w:t>
            </w:r>
          </w:p>
        </w:tc>
      </w:tr>
      <w:tr w14:paraId="7AEB1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9B2BA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账号：</w:t>
            </w:r>
          </w:p>
        </w:tc>
        <w:tc>
          <w:tcPr>
            <w:tcW w:w="4153" w:type="dxa"/>
          </w:tcPr>
          <w:p w14:paraId="60A5B6E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账号：</w:t>
            </w:r>
          </w:p>
        </w:tc>
      </w:tr>
      <w:tr w14:paraId="4732E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16F10AE">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签订地点：</w:t>
            </w:r>
            <w:r>
              <w:rPr>
                <w:rFonts w:asciiTheme="minorEastAsia" w:hAnsiTheme="minorEastAsia"/>
                <w:color w:val="auto"/>
                <w:sz w:val="24"/>
                <w:szCs w:val="24"/>
                <w:highlight w:val="none"/>
                <w:u w:val="single"/>
              </w:rPr>
              <w:t>　　　　　　　　　　</w:t>
            </w:r>
          </w:p>
          <w:p w14:paraId="77BA0F8F">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签约日期：</w:t>
            </w:r>
            <w:r>
              <w:rPr>
                <w:rFonts w:asciiTheme="minorEastAsia" w:hAnsiTheme="minorEastAsia"/>
                <w:color w:val="auto"/>
                <w:sz w:val="24"/>
                <w:szCs w:val="24"/>
                <w:highlight w:val="none"/>
                <w:u w:val="single"/>
              </w:rPr>
              <w:t>　　年　　月　　日</w:t>
            </w:r>
          </w:p>
        </w:tc>
      </w:tr>
    </w:tbl>
    <w:p w14:paraId="3BC3EBB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34A18F4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1.招标文件接受合同分包且投标人拟将合同分包的，应提供本协议；否则无须提供。</w:t>
      </w:r>
    </w:p>
    <w:p w14:paraId="54E548A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2.本协议由委托代理人签字或盖章的，应按照本章载明的格式提供“单位授权书”。</w:t>
      </w:r>
    </w:p>
    <w:p w14:paraId="249A5CAC">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3.在以合同分包形式落实中小企业预留份额项目中，投标人除了要提供《中小企业声明函》，还需提供本协议。</w:t>
      </w:r>
    </w:p>
    <w:p w14:paraId="703DCCF4">
      <w:pPr>
        <w:rPr>
          <w:color w:val="auto"/>
          <w:highlight w:val="none"/>
        </w:rPr>
      </w:pPr>
    </w:p>
    <w:p w14:paraId="09B0610B">
      <w:pPr>
        <w:rPr>
          <w:color w:val="auto"/>
          <w:highlight w:val="none"/>
        </w:rPr>
        <w:sectPr>
          <w:pgSz w:w="11906" w:h="16838"/>
          <w:pgMar w:top="1418" w:right="1418" w:bottom="1418" w:left="1418" w:header="851" w:footer="992" w:gutter="0"/>
          <w:cols w:space="425" w:num="1"/>
          <w:docGrid w:type="lines" w:linePitch="312" w:charSpace="0"/>
        </w:sectPr>
      </w:pPr>
    </w:p>
    <w:p w14:paraId="27E24F05">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二-7其他资格证明文件（若有）</w:t>
      </w:r>
    </w:p>
    <w:p w14:paraId="764A351C">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二-7-①招标文件规定的其他资格证明文件（若有）</w:t>
      </w:r>
    </w:p>
    <w:p w14:paraId="6AF7F6BB">
      <w:pPr>
        <w:pStyle w:val="54"/>
        <w:spacing w:line="360" w:lineRule="auto"/>
        <w:ind w:firstLine="480" w:firstLineChars="200"/>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编制说明</w:t>
      </w:r>
    </w:p>
    <w:p w14:paraId="17DCEBF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除招标文件另有规定外，招标文件要求提交的除前述资格证明文件外的其他资格证明文件（若有）加盖投标人的单位公章后应在此项下提交。</w:t>
      </w:r>
    </w:p>
    <w:p w14:paraId="72CD5D7D">
      <w:pPr>
        <w:spacing w:beforeLines="50" w:afterLines="50"/>
        <w:jc w:val="center"/>
        <w:rPr>
          <w:rFonts w:asciiTheme="minorEastAsia" w:hAnsiTheme="minorEastAsia"/>
          <w:b/>
          <w:color w:val="auto"/>
          <w:sz w:val="28"/>
          <w:szCs w:val="28"/>
          <w:highlight w:val="none"/>
        </w:rPr>
      </w:pPr>
    </w:p>
    <w:p w14:paraId="5452D968">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三、投标保证金</w:t>
      </w:r>
    </w:p>
    <w:p w14:paraId="3F9DDC3C">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编制说明</w:t>
      </w:r>
    </w:p>
    <w:p w14:paraId="0F35C937">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1、在此项下提交的“投标保证金”材料可使用转账凭证复印件或从福建省政府采购网上公开信息系统中下载的有关原始页面的打印件。</w:t>
      </w:r>
    </w:p>
    <w:p w14:paraId="518BAC5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2、投标保证金是否已提交的认定按照招标文件第三章规定执行。</w:t>
      </w:r>
    </w:p>
    <w:p w14:paraId="70E7D346">
      <w:pPr>
        <w:rPr>
          <w:color w:val="auto"/>
          <w:highlight w:val="none"/>
        </w:rPr>
      </w:pPr>
    </w:p>
    <w:p w14:paraId="0945CEF3">
      <w:pPr>
        <w:rPr>
          <w:color w:val="auto"/>
          <w:highlight w:val="none"/>
        </w:rPr>
        <w:sectPr>
          <w:pgSz w:w="11906" w:h="16838"/>
          <w:pgMar w:top="1418" w:right="1418" w:bottom="1418" w:left="1418" w:header="851" w:footer="992" w:gutter="0"/>
          <w:cols w:space="425" w:num="1"/>
          <w:docGrid w:type="lines" w:linePitch="312" w:charSpace="0"/>
        </w:sectPr>
      </w:pPr>
    </w:p>
    <w:p w14:paraId="18DCD2D0">
      <w:pPr>
        <w:spacing w:beforeLines="50" w:afterLines="50"/>
        <w:jc w:val="center"/>
        <w:rPr>
          <w:b/>
          <w:color w:val="auto"/>
          <w:sz w:val="28"/>
          <w:szCs w:val="28"/>
          <w:highlight w:val="none"/>
        </w:rPr>
      </w:pPr>
      <w:r>
        <w:rPr>
          <w:b/>
          <w:color w:val="auto"/>
          <w:sz w:val="28"/>
          <w:szCs w:val="28"/>
          <w:highlight w:val="none"/>
        </w:rPr>
        <w:t>封面格式（</w:t>
      </w:r>
      <w:r>
        <w:rPr>
          <w:rFonts w:hint="eastAsia"/>
          <w:b/>
          <w:color w:val="auto"/>
          <w:sz w:val="28"/>
          <w:szCs w:val="28"/>
          <w:highlight w:val="none"/>
        </w:rPr>
        <w:t>报价</w:t>
      </w:r>
      <w:r>
        <w:rPr>
          <w:b/>
          <w:color w:val="auto"/>
          <w:sz w:val="28"/>
          <w:szCs w:val="28"/>
          <w:highlight w:val="none"/>
        </w:rPr>
        <w:t>部分）</w:t>
      </w:r>
    </w:p>
    <w:p w14:paraId="58AA6E61">
      <w:pPr>
        <w:jc w:val="center"/>
        <w:rPr>
          <w:rFonts w:ascii="宋体" w:hAnsi="宋体" w:eastAsia="宋体"/>
          <w:b/>
          <w:color w:val="auto"/>
          <w:sz w:val="32"/>
          <w:szCs w:val="32"/>
          <w:highlight w:val="none"/>
        </w:rPr>
      </w:pPr>
    </w:p>
    <w:p w14:paraId="747D2E37">
      <w:pPr>
        <w:jc w:val="center"/>
        <w:rPr>
          <w:rFonts w:ascii="宋体" w:hAnsi="宋体" w:eastAsia="宋体"/>
          <w:b/>
          <w:color w:val="auto"/>
          <w:sz w:val="32"/>
          <w:szCs w:val="32"/>
          <w:highlight w:val="none"/>
        </w:rPr>
      </w:pPr>
      <w:r>
        <w:rPr>
          <w:rFonts w:ascii="宋体" w:hAnsi="宋体" w:eastAsia="宋体"/>
          <w:b/>
          <w:color w:val="auto"/>
          <w:sz w:val="32"/>
          <w:szCs w:val="32"/>
          <w:highlight w:val="none"/>
        </w:rPr>
        <w:t>福建省政府采购投标文件</w:t>
      </w:r>
    </w:p>
    <w:p w14:paraId="502AADD2">
      <w:pPr>
        <w:jc w:val="center"/>
        <w:rPr>
          <w:rFonts w:ascii="宋体" w:hAnsi="宋体" w:eastAsia="宋体"/>
          <w:b/>
          <w:color w:val="auto"/>
          <w:sz w:val="32"/>
          <w:szCs w:val="32"/>
          <w:highlight w:val="none"/>
        </w:rPr>
      </w:pPr>
      <w:r>
        <w:rPr>
          <w:rFonts w:ascii="宋体" w:hAnsi="宋体" w:eastAsia="宋体"/>
          <w:b/>
          <w:color w:val="auto"/>
          <w:sz w:val="32"/>
          <w:szCs w:val="32"/>
          <w:highlight w:val="none"/>
        </w:rPr>
        <w:t>（</w:t>
      </w:r>
      <w:r>
        <w:rPr>
          <w:rFonts w:hint="eastAsia" w:ascii="宋体" w:hAnsi="宋体" w:eastAsia="宋体"/>
          <w:b/>
          <w:color w:val="auto"/>
          <w:sz w:val="32"/>
          <w:szCs w:val="32"/>
          <w:highlight w:val="none"/>
        </w:rPr>
        <w:t>报价</w:t>
      </w:r>
      <w:r>
        <w:rPr>
          <w:rFonts w:ascii="宋体" w:hAnsi="宋体" w:eastAsia="宋体"/>
          <w:b/>
          <w:color w:val="auto"/>
          <w:sz w:val="32"/>
          <w:szCs w:val="32"/>
          <w:highlight w:val="none"/>
        </w:rPr>
        <w:t>部分）</w:t>
      </w:r>
    </w:p>
    <w:p w14:paraId="725C89BC">
      <w:pPr>
        <w:jc w:val="center"/>
        <w:rPr>
          <w:rFonts w:ascii="宋体" w:hAnsi="宋体" w:eastAsia="宋体"/>
          <w:b/>
          <w:color w:val="auto"/>
          <w:sz w:val="32"/>
          <w:szCs w:val="32"/>
          <w:highlight w:val="none"/>
        </w:rPr>
      </w:pPr>
      <w:r>
        <w:rPr>
          <w:rFonts w:ascii="宋体" w:hAnsi="宋体" w:eastAsia="宋体"/>
          <w:b/>
          <w:color w:val="auto"/>
          <w:sz w:val="32"/>
          <w:szCs w:val="32"/>
          <w:highlight w:val="none"/>
        </w:rPr>
        <w:t>（填写正本或副本）</w:t>
      </w:r>
    </w:p>
    <w:p w14:paraId="2BC2CAFC">
      <w:pPr>
        <w:jc w:val="center"/>
        <w:rPr>
          <w:rFonts w:ascii="宋体" w:hAnsi="宋体" w:eastAsia="宋体"/>
          <w:b/>
          <w:color w:val="auto"/>
          <w:sz w:val="32"/>
          <w:szCs w:val="32"/>
          <w:highlight w:val="none"/>
        </w:rPr>
      </w:pPr>
    </w:p>
    <w:p w14:paraId="443E467D">
      <w:pPr>
        <w:jc w:val="center"/>
        <w:rPr>
          <w:rFonts w:ascii="宋体" w:hAnsi="宋体" w:eastAsia="宋体"/>
          <w:b/>
          <w:color w:val="auto"/>
          <w:sz w:val="32"/>
          <w:szCs w:val="32"/>
          <w:highlight w:val="none"/>
        </w:rPr>
      </w:pPr>
    </w:p>
    <w:p w14:paraId="0271CD0D">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（项目名称：（由投标人填写）</w:t>
      </w:r>
    </w:p>
    <w:p w14:paraId="312198D7">
      <w:pPr>
        <w:jc w:val="center"/>
        <w:rPr>
          <w:rFonts w:ascii="宋体" w:hAnsi="宋体" w:eastAsia="宋体"/>
          <w:b/>
          <w:color w:val="auto"/>
          <w:sz w:val="32"/>
          <w:szCs w:val="32"/>
          <w:highlight w:val="none"/>
        </w:rPr>
      </w:pPr>
      <w:r>
        <w:rPr>
          <w:rFonts w:ascii="宋体" w:hAnsi="宋体" w:eastAsia="宋体"/>
          <w:b/>
          <w:color w:val="auto"/>
          <w:sz w:val="32"/>
          <w:szCs w:val="32"/>
          <w:highlight w:val="none"/>
        </w:rPr>
        <w:t>（备案编号：（由投标人填写）</w:t>
      </w:r>
    </w:p>
    <w:p w14:paraId="6371FBC8">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（项目编号：（由投标人填写）</w:t>
      </w:r>
    </w:p>
    <w:p w14:paraId="7E6EFE16">
      <w:pPr>
        <w:jc w:val="center"/>
        <w:rPr>
          <w:rFonts w:ascii="宋体" w:hAnsi="宋体" w:eastAsia="宋体"/>
          <w:b/>
          <w:color w:val="auto"/>
          <w:sz w:val="32"/>
          <w:szCs w:val="32"/>
          <w:highlight w:val="none"/>
        </w:rPr>
      </w:pPr>
      <w:r>
        <w:rPr>
          <w:rFonts w:ascii="宋体" w:hAnsi="宋体" w:eastAsia="宋体"/>
          <w:b/>
          <w:color w:val="auto"/>
          <w:sz w:val="32"/>
          <w:szCs w:val="32"/>
          <w:highlight w:val="none"/>
        </w:rPr>
        <w:t>（所投采购包：（由投标人填写）</w:t>
      </w:r>
    </w:p>
    <w:p w14:paraId="30E90ED9">
      <w:pPr>
        <w:jc w:val="center"/>
        <w:rPr>
          <w:rFonts w:ascii="宋体" w:hAnsi="宋体" w:eastAsia="宋体"/>
          <w:b/>
          <w:color w:val="auto"/>
          <w:sz w:val="32"/>
          <w:szCs w:val="32"/>
          <w:highlight w:val="none"/>
        </w:rPr>
      </w:pPr>
    </w:p>
    <w:p w14:paraId="04A30C03">
      <w:pPr>
        <w:jc w:val="center"/>
        <w:rPr>
          <w:rFonts w:ascii="宋体" w:hAnsi="宋体" w:eastAsia="宋体"/>
          <w:b/>
          <w:color w:val="auto"/>
          <w:sz w:val="32"/>
          <w:szCs w:val="32"/>
          <w:highlight w:val="none"/>
        </w:rPr>
      </w:pPr>
      <w:r>
        <w:rPr>
          <w:rFonts w:ascii="宋体" w:hAnsi="宋体" w:eastAsia="宋体"/>
          <w:b/>
          <w:color w:val="auto"/>
          <w:sz w:val="32"/>
          <w:szCs w:val="32"/>
          <w:highlight w:val="none"/>
        </w:rPr>
        <w:t>投标人：（填写“全称”）</w:t>
      </w:r>
    </w:p>
    <w:p w14:paraId="454D3917">
      <w:pPr>
        <w:jc w:val="center"/>
        <w:rPr>
          <w:rFonts w:ascii="宋体" w:hAnsi="宋体" w:eastAsia="宋体"/>
          <w:b/>
          <w:color w:val="auto"/>
          <w:sz w:val="32"/>
          <w:szCs w:val="32"/>
          <w:highlight w:val="none"/>
        </w:rPr>
      </w:pPr>
      <w:r>
        <w:rPr>
          <w:rFonts w:ascii="宋体" w:hAnsi="宋体" w:eastAsia="宋体"/>
          <w:b/>
          <w:color w:val="auto"/>
          <w:sz w:val="32"/>
          <w:szCs w:val="32"/>
          <w:highlight w:val="none"/>
        </w:rPr>
        <w:t>（由投标人填写）年（由投标人填写）月</w:t>
      </w:r>
    </w:p>
    <w:p w14:paraId="3657F54D">
      <w:pPr>
        <w:rPr>
          <w:color w:val="auto"/>
          <w:highlight w:val="none"/>
        </w:rPr>
      </w:pPr>
    </w:p>
    <w:p w14:paraId="34B89AE5">
      <w:pPr>
        <w:rPr>
          <w:color w:val="auto"/>
          <w:highlight w:val="none"/>
        </w:rPr>
        <w:sectPr>
          <w:pgSz w:w="11906" w:h="16838"/>
          <w:pgMar w:top="1418" w:right="1418" w:bottom="1418" w:left="1418" w:header="851" w:footer="992" w:gutter="0"/>
          <w:cols w:space="425" w:num="1"/>
          <w:docGrid w:type="lines" w:linePitch="312" w:charSpace="0"/>
        </w:sectPr>
      </w:pPr>
    </w:p>
    <w:p w14:paraId="6BBF9169">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索引</w:t>
      </w:r>
    </w:p>
    <w:p w14:paraId="1C3C7BE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一、开标（报价）一览表</w:t>
      </w:r>
    </w:p>
    <w:p w14:paraId="3742FF8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二、投标（响应）报价明细表</w:t>
      </w:r>
    </w:p>
    <w:p w14:paraId="4D9855D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三、招标文件规定的价格扣除证明材料（若有）</w:t>
      </w:r>
    </w:p>
    <w:p w14:paraId="53CD6355">
      <w:pPr>
        <w:rPr>
          <w:color w:val="auto"/>
          <w:highlight w:val="none"/>
        </w:rPr>
      </w:pPr>
    </w:p>
    <w:p w14:paraId="5ACA77BA">
      <w:pPr>
        <w:rPr>
          <w:color w:val="auto"/>
          <w:highlight w:val="none"/>
        </w:rPr>
        <w:sectPr>
          <w:pgSz w:w="11906" w:h="16838"/>
          <w:pgMar w:top="1418" w:right="1418" w:bottom="1418" w:left="1418" w:header="851" w:footer="992" w:gutter="0"/>
          <w:cols w:space="425" w:num="1"/>
          <w:docGrid w:type="lines" w:linePitch="312" w:charSpace="0"/>
        </w:sectPr>
      </w:pPr>
    </w:p>
    <w:p w14:paraId="7565B9F3">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开标（报价）一览表</w:t>
      </w:r>
    </w:p>
    <w:p w14:paraId="2FF5CE4D">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公司名称：</w:t>
      </w:r>
    </w:p>
    <w:p w14:paraId="3AE76DEC">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包号：1</w:t>
      </w:r>
    </w:p>
    <w:p w14:paraId="2F235D2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r>
        <w:rPr>
          <w:rFonts w:hint="eastAsia" w:asciiTheme="minorEastAsia" w:hAnsiTheme="minorEastAsia"/>
          <w:color w:val="auto"/>
          <w:sz w:val="24"/>
          <w:szCs w:val="24"/>
          <w:highlight w:val="none"/>
        </w:rPr>
        <w:t>[350201]GWTZ[GK]2025027</w:t>
      </w:r>
    </w:p>
    <w:p w14:paraId="2E86AF1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项目名称：</w:t>
      </w:r>
      <w:r>
        <w:rPr>
          <w:rFonts w:hint="eastAsia" w:asciiTheme="minorEastAsia" w:hAnsiTheme="minorEastAsia"/>
          <w:color w:val="auto"/>
          <w:sz w:val="24"/>
          <w:szCs w:val="24"/>
          <w:highlight w:val="none"/>
        </w:rPr>
        <w:t>厦门市卫生健康委员会(厦门市医用设备集中采购工作专班)核酸质谱系统统招分签采购项目</w:t>
      </w:r>
      <w:r>
        <w:rPr>
          <w:rFonts w:hint="default" w:asciiTheme="minorEastAsia" w:hAnsiTheme="minorEastAsia"/>
          <w:color w:val="auto"/>
          <w:sz w:val="24"/>
          <w:szCs w:val="24"/>
          <w:highlight w:val="none"/>
        </w:rPr>
        <w:t xml:space="preserve"> </w:t>
      </w:r>
    </w:p>
    <w:p w14:paraId="4DCFD322">
      <w:pPr>
        <w:rPr>
          <w:color w:val="auto"/>
          <w:highlight w:val="none"/>
        </w:rPr>
      </w:pP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6"/>
        <w:gridCol w:w="2286"/>
        <w:gridCol w:w="1661"/>
        <w:gridCol w:w="1661"/>
        <w:gridCol w:w="1661"/>
      </w:tblGrid>
      <w:tr w14:paraId="64056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6" w:type="dxa"/>
            <w:vAlign w:val="center"/>
          </w:tcPr>
          <w:p w14:paraId="04595F02">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2286" w:type="dxa"/>
            <w:vAlign w:val="center"/>
          </w:tcPr>
          <w:p w14:paraId="6ED3B7B5">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报价内容</w:t>
            </w:r>
          </w:p>
        </w:tc>
        <w:tc>
          <w:tcPr>
            <w:tcW w:w="1661" w:type="dxa"/>
            <w:vAlign w:val="center"/>
          </w:tcPr>
          <w:p w14:paraId="22C1093F">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最高限价</w:t>
            </w:r>
          </w:p>
        </w:tc>
        <w:tc>
          <w:tcPr>
            <w:tcW w:w="1661" w:type="dxa"/>
            <w:vAlign w:val="center"/>
          </w:tcPr>
          <w:p w14:paraId="3FDC9F2C">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响应报价</w:t>
            </w:r>
          </w:p>
        </w:tc>
        <w:tc>
          <w:tcPr>
            <w:tcW w:w="1661" w:type="dxa"/>
            <w:vAlign w:val="center"/>
          </w:tcPr>
          <w:p w14:paraId="09A4BFB8">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价款形式</w:t>
            </w:r>
          </w:p>
        </w:tc>
      </w:tr>
      <w:tr w14:paraId="16447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6" w:type="dxa"/>
            <w:vAlign w:val="center"/>
          </w:tcPr>
          <w:p w14:paraId="24128AAF">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2286" w:type="dxa"/>
            <w:vAlign w:val="center"/>
          </w:tcPr>
          <w:p w14:paraId="3790B3A9">
            <w:pPr>
              <w:pStyle w:val="54"/>
              <w:spacing w:line="360" w:lineRule="auto"/>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厦门市卫生健康委员会(厦门市医用设备集中采购工作专班)核酸质谱系统统招分签采购项目</w:t>
            </w:r>
          </w:p>
        </w:tc>
        <w:tc>
          <w:tcPr>
            <w:tcW w:w="1661" w:type="dxa"/>
            <w:vAlign w:val="center"/>
          </w:tcPr>
          <w:p w14:paraId="6B94DBFD">
            <w:pPr>
              <w:pStyle w:val="54"/>
              <w:spacing w:line="360" w:lineRule="auto"/>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 xml:space="preserve"> </w:t>
            </w:r>
            <w:r>
              <w:rPr>
                <w:rFonts w:hint="eastAsia" w:asciiTheme="minorEastAsia" w:hAnsiTheme="minorEastAsia"/>
                <w:color w:val="auto"/>
                <w:sz w:val="24"/>
                <w:szCs w:val="24"/>
                <w:highlight w:val="none"/>
                <w:lang w:val="en-US" w:eastAsia="zh-CN"/>
              </w:rPr>
              <w:t>160</w:t>
            </w:r>
            <w:r>
              <w:rPr>
                <w:rFonts w:hint="default" w:asciiTheme="minorEastAsia" w:hAnsiTheme="minorEastAsia"/>
                <w:color w:val="auto"/>
                <w:sz w:val="24"/>
                <w:szCs w:val="24"/>
                <w:highlight w:val="none"/>
              </w:rPr>
              <w:t>0000  元</w:t>
            </w:r>
          </w:p>
        </w:tc>
        <w:tc>
          <w:tcPr>
            <w:tcW w:w="1661" w:type="dxa"/>
            <w:vAlign w:val="center"/>
          </w:tcPr>
          <w:p w14:paraId="71C60C6C">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「汇总引用」  元</w:t>
            </w:r>
          </w:p>
        </w:tc>
        <w:tc>
          <w:tcPr>
            <w:tcW w:w="1661" w:type="dxa"/>
            <w:vAlign w:val="center"/>
          </w:tcPr>
          <w:p w14:paraId="018AC0BE">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总价</w:t>
            </w:r>
          </w:p>
        </w:tc>
      </w:tr>
    </w:tbl>
    <w:p w14:paraId="5AF5539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备注：无</w:t>
      </w:r>
    </w:p>
    <w:p w14:paraId="53CF5833">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时间：     年     月     日</w:t>
      </w:r>
    </w:p>
    <w:p w14:paraId="3076BC4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xml:space="preserve">签章：                     </w:t>
      </w:r>
    </w:p>
    <w:p w14:paraId="514D995D">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投标（响应）报价明细表</w:t>
      </w:r>
    </w:p>
    <w:p w14:paraId="624E549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公司名称：</w:t>
      </w:r>
    </w:p>
    <w:p w14:paraId="0E44FC6A">
      <w:pPr>
        <w:pStyle w:val="54"/>
        <w:spacing w:line="360" w:lineRule="auto"/>
        <w:ind w:firstLine="480" w:firstLineChars="200"/>
        <w:rPr>
          <w:rFonts w:hint="eastAsia" w:asciiTheme="minorEastAsia" w:hAnsiTheme="minorEastAsia" w:eastAsiaTheme="minorEastAsia"/>
          <w:color w:val="auto"/>
          <w:sz w:val="24"/>
          <w:szCs w:val="24"/>
          <w:highlight w:val="none"/>
          <w:lang w:val="en-US" w:eastAsia="zh-CN"/>
        </w:rPr>
      </w:pPr>
      <w:r>
        <w:rPr>
          <w:rFonts w:asciiTheme="minorEastAsia" w:hAnsiTheme="minorEastAsia"/>
          <w:color w:val="auto"/>
          <w:sz w:val="24"/>
          <w:szCs w:val="24"/>
          <w:highlight w:val="none"/>
        </w:rPr>
        <w:t>包号：</w:t>
      </w:r>
      <w:r>
        <w:rPr>
          <w:rFonts w:hint="eastAsia" w:asciiTheme="minorEastAsia" w:hAnsiTheme="minorEastAsia"/>
          <w:color w:val="auto"/>
          <w:sz w:val="24"/>
          <w:szCs w:val="24"/>
          <w:highlight w:val="none"/>
          <w:lang w:val="en-US" w:eastAsia="zh-CN"/>
        </w:rPr>
        <w:t>1</w:t>
      </w:r>
    </w:p>
    <w:p w14:paraId="0A1A3D8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r>
        <w:rPr>
          <w:rFonts w:hint="eastAsia" w:asciiTheme="minorEastAsia" w:hAnsiTheme="minorEastAsia"/>
          <w:color w:val="auto"/>
          <w:sz w:val="24"/>
          <w:szCs w:val="24"/>
          <w:highlight w:val="none"/>
        </w:rPr>
        <w:t>[350201]GWTZ[GK]2025027</w:t>
      </w:r>
    </w:p>
    <w:p w14:paraId="792C135C">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项目名称：</w:t>
      </w:r>
      <w:r>
        <w:rPr>
          <w:rFonts w:hint="default" w:asciiTheme="minorEastAsia" w:hAnsiTheme="minorEastAsia"/>
          <w:color w:val="auto"/>
          <w:sz w:val="24"/>
          <w:szCs w:val="24"/>
          <w:highlight w:val="none"/>
        </w:rPr>
        <w:t>厦门市卫生健康委员会(厦门市医用设备集中采购工作专班)核酸质谱系统统招分签采购项目</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1056"/>
        <w:gridCol w:w="639"/>
        <w:gridCol w:w="936"/>
        <w:gridCol w:w="639"/>
        <w:gridCol w:w="639"/>
        <w:gridCol w:w="639"/>
        <w:gridCol w:w="639"/>
      </w:tblGrid>
      <w:tr w14:paraId="0BC00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39" w:type="dxa"/>
            <w:vAlign w:val="center"/>
          </w:tcPr>
          <w:p w14:paraId="6BD7CD63">
            <w:pPr>
              <w:pStyle w:val="54"/>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序号</w:t>
            </w:r>
          </w:p>
        </w:tc>
        <w:tc>
          <w:tcPr>
            <w:tcW w:w="639" w:type="dxa"/>
            <w:vAlign w:val="center"/>
          </w:tcPr>
          <w:p w14:paraId="5D4771F0">
            <w:pPr>
              <w:pStyle w:val="54"/>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货物名称</w:t>
            </w:r>
          </w:p>
        </w:tc>
        <w:tc>
          <w:tcPr>
            <w:tcW w:w="639" w:type="dxa"/>
            <w:vAlign w:val="center"/>
          </w:tcPr>
          <w:p w14:paraId="793B1647">
            <w:pPr>
              <w:pStyle w:val="54"/>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规格型号</w:t>
            </w:r>
          </w:p>
        </w:tc>
        <w:tc>
          <w:tcPr>
            <w:tcW w:w="639" w:type="dxa"/>
            <w:vAlign w:val="center"/>
          </w:tcPr>
          <w:p w14:paraId="6AA143C4">
            <w:pPr>
              <w:pStyle w:val="54"/>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品牌</w:t>
            </w:r>
          </w:p>
        </w:tc>
        <w:tc>
          <w:tcPr>
            <w:tcW w:w="639" w:type="dxa"/>
            <w:vAlign w:val="center"/>
          </w:tcPr>
          <w:p w14:paraId="71742FFA">
            <w:pPr>
              <w:pStyle w:val="54"/>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制造商名称</w:t>
            </w:r>
          </w:p>
        </w:tc>
        <w:tc>
          <w:tcPr>
            <w:tcW w:w="639" w:type="dxa"/>
            <w:vAlign w:val="center"/>
          </w:tcPr>
          <w:p w14:paraId="3870A3A5">
            <w:pPr>
              <w:pStyle w:val="54"/>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产地</w:t>
            </w:r>
          </w:p>
        </w:tc>
        <w:tc>
          <w:tcPr>
            <w:tcW w:w="639" w:type="dxa"/>
            <w:vAlign w:val="center"/>
          </w:tcPr>
          <w:p w14:paraId="083D86E3">
            <w:pPr>
              <w:pStyle w:val="54"/>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最高限价</w:t>
            </w:r>
          </w:p>
        </w:tc>
        <w:tc>
          <w:tcPr>
            <w:tcW w:w="639" w:type="dxa"/>
            <w:vAlign w:val="center"/>
          </w:tcPr>
          <w:p w14:paraId="62BAD87A">
            <w:pPr>
              <w:pStyle w:val="54"/>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单价</w:t>
            </w:r>
          </w:p>
        </w:tc>
        <w:tc>
          <w:tcPr>
            <w:tcW w:w="639" w:type="dxa"/>
            <w:vAlign w:val="center"/>
          </w:tcPr>
          <w:p w14:paraId="23D129B4">
            <w:pPr>
              <w:pStyle w:val="54"/>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数量</w:t>
            </w:r>
          </w:p>
        </w:tc>
        <w:tc>
          <w:tcPr>
            <w:tcW w:w="639" w:type="dxa"/>
            <w:vAlign w:val="center"/>
          </w:tcPr>
          <w:p w14:paraId="7BDA9E76">
            <w:pPr>
              <w:pStyle w:val="54"/>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计量单位</w:t>
            </w:r>
          </w:p>
        </w:tc>
        <w:tc>
          <w:tcPr>
            <w:tcW w:w="639" w:type="dxa"/>
            <w:vAlign w:val="center"/>
          </w:tcPr>
          <w:p w14:paraId="73FCA698">
            <w:pPr>
              <w:pStyle w:val="54"/>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总价</w:t>
            </w:r>
          </w:p>
        </w:tc>
        <w:tc>
          <w:tcPr>
            <w:tcW w:w="639" w:type="dxa"/>
            <w:vAlign w:val="center"/>
          </w:tcPr>
          <w:p w14:paraId="7BC60DED">
            <w:pPr>
              <w:pStyle w:val="54"/>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是否环境标志产品</w:t>
            </w:r>
          </w:p>
        </w:tc>
        <w:tc>
          <w:tcPr>
            <w:tcW w:w="639" w:type="dxa"/>
            <w:vAlign w:val="center"/>
          </w:tcPr>
          <w:p w14:paraId="445D77ED">
            <w:pPr>
              <w:pStyle w:val="54"/>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是否节能产品</w:t>
            </w:r>
          </w:p>
        </w:tc>
      </w:tr>
      <w:tr w14:paraId="5CD7A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39" w:type="dxa"/>
            <w:vAlign w:val="top"/>
          </w:tcPr>
          <w:p w14:paraId="7678165F">
            <w:pPr>
              <w:pStyle w:val="54"/>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639" w:type="dxa"/>
            <w:vAlign w:val="top"/>
          </w:tcPr>
          <w:p w14:paraId="2A22F83E">
            <w:pPr>
              <w:pStyle w:val="54"/>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核酸质谱系统</w:t>
            </w:r>
          </w:p>
        </w:tc>
        <w:tc>
          <w:tcPr>
            <w:tcW w:w="639" w:type="dxa"/>
            <w:vAlign w:val="top"/>
          </w:tcPr>
          <w:p w14:paraId="38D71ADD">
            <w:pPr>
              <w:pStyle w:val="54"/>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{供应商响应}</w:t>
            </w:r>
          </w:p>
        </w:tc>
        <w:tc>
          <w:tcPr>
            <w:tcW w:w="639" w:type="dxa"/>
            <w:vAlign w:val="top"/>
          </w:tcPr>
          <w:p w14:paraId="4E74BA33">
            <w:pPr>
              <w:pStyle w:val="54"/>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{供应商响应}</w:t>
            </w:r>
          </w:p>
        </w:tc>
        <w:tc>
          <w:tcPr>
            <w:tcW w:w="639" w:type="dxa"/>
            <w:vAlign w:val="top"/>
          </w:tcPr>
          <w:p w14:paraId="104DE328">
            <w:pPr>
              <w:pStyle w:val="54"/>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{供应商响应}</w:t>
            </w:r>
          </w:p>
        </w:tc>
        <w:tc>
          <w:tcPr>
            <w:tcW w:w="639" w:type="dxa"/>
            <w:vAlign w:val="top"/>
          </w:tcPr>
          <w:p w14:paraId="15DED99E">
            <w:pPr>
              <w:pStyle w:val="54"/>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{供应商响应}</w:t>
            </w:r>
          </w:p>
        </w:tc>
        <w:tc>
          <w:tcPr>
            <w:tcW w:w="639" w:type="dxa"/>
            <w:vAlign w:val="top"/>
          </w:tcPr>
          <w:p w14:paraId="5E2AEC3D">
            <w:pPr>
              <w:pStyle w:val="54"/>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1600000  元</w:t>
            </w:r>
          </w:p>
        </w:tc>
        <w:tc>
          <w:tcPr>
            <w:tcW w:w="639" w:type="dxa"/>
            <w:vAlign w:val="top"/>
          </w:tcPr>
          <w:p w14:paraId="3E21F6F4">
            <w:pPr>
              <w:pStyle w:val="54"/>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{=总价/数量}  元</w:t>
            </w:r>
          </w:p>
        </w:tc>
        <w:tc>
          <w:tcPr>
            <w:tcW w:w="639" w:type="dxa"/>
            <w:vAlign w:val="top"/>
          </w:tcPr>
          <w:p w14:paraId="6DC24FEA">
            <w:pPr>
              <w:pStyle w:val="54"/>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1.0000</w:t>
            </w:r>
          </w:p>
        </w:tc>
        <w:tc>
          <w:tcPr>
            <w:tcW w:w="639" w:type="dxa"/>
            <w:vAlign w:val="top"/>
          </w:tcPr>
          <w:p w14:paraId="6DA4DB3F">
            <w:pPr>
              <w:pStyle w:val="54"/>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套</w:t>
            </w:r>
          </w:p>
        </w:tc>
        <w:tc>
          <w:tcPr>
            <w:tcW w:w="639" w:type="dxa"/>
            <w:vAlign w:val="top"/>
          </w:tcPr>
          <w:p w14:paraId="3D20DAB3">
            <w:pPr>
              <w:pStyle w:val="54"/>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{供应商响应}  元</w:t>
            </w:r>
          </w:p>
        </w:tc>
        <w:tc>
          <w:tcPr>
            <w:tcW w:w="639" w:type="dxa"/>
            <w:vAlign w:val="top"/>
          </w:tcPr>
          <w:p w14:paraId="7E15B056">
            <w:pPr>
              <w:pStyle w:val="54"/>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{供应商响应}</w:t>
            </w:r>
          </w:p>
        </w:tc>
        <w:tc>
          <w:tcPr>
            <w:tcW w:w="639" w:type="dxa"/>
            <w:vAlign w:val="top"/>
          </w:tcPr>
          <w:p w14:paraId="5F35D3FC">
            <w:pPr>
              <w:pStyle w:val="54"/>
              <w:jc w:val="center"/>
              <w:rPr>
                <w:rFonts w:hint="default" w:asciiTheme="minorEastAsia" w:hAnsiTheme="minorEastAsia"/>
                <w:color w:val="auto"/>
                <w:sz w:val="24"/>
                <w:szCs w:val="24"/>
                <w:highlight w:val="none"/>
              </w:rPr>
            </w:pPr>
            <w:r>
              <w:rPr>
                <w:rFonts w:hint="default" w:asciiTheme="minorEastAsia" w:hAnsiTheme="minorEastAsia"/>
                <w:color w:val="auto"/>
                <w:sz w:val="24"/>
                <w:szCs w:val="24"/>
                <w:highlight w:val="none"/>
              </w:rPr>
              <w:t>{供应商响应}</w:t>
            </w:r>
          </w:p>
        </w:tc>
      </w:tr>
    </w:tbl>
    <w:p w14:paraId="0DABDFF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合计：</w:t>
      </w:r>
    </w:p>
    <w:p w14:paraId="3484FDE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备注：无</w:t>
      </w:r>
    </w:p>
    <w:p w14:paraId="21A66D2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时间：     年     月     日</w:t>
      </w:r>
    </w:p>
    <w:p w14:paraId="1E862607">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xml:space="preserve">签章：                     </w:t>
      </w:r>
    </w:p>
    <w:p w14:paraId="7634C8C5">
      <w:pPr>
        <w:rPr>
          <w:color w:val="auto"/>
          <w:highlight w:val="none"/>
        </w:rPr>
        <w:sectPr>
          <w:pgSz w:w="11906" w:h="16838"/>
          <w:pgMar w:top="1418" w:right="1418" w:bottom="1418" w:left="1418" w:header="851" w:footer="992" w:gutter="0"/>
          <w:cols w:space="425" w:num="1"/>
          <w:docGrid w:type="lines" w:linePitch="312" w:charSpace="0"/>
        </w:sectPr>
      </w:pPr>
    </w:p>
    <w:p w14:paraId="21FAFD4D">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三、招标文件规定的价格扣除证明材料（若有）</w:t>
      </w:r>
    </w:p>
    <w:p w14:paraId="616CEF49">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三-1优先类节能产品、环境标志产品价格扣除证明材料（若有）</w:t>
      </w:r>
    </w:p>
    <w:p w14:paraId="0C435D6A">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三-1-①优先类节能产品、环境标志产品统计表（价格扣除适用，若有）</w:t>
      </w:r>
    </w:p>
    <w:p w14:paraId="6AD9F940">
      <w:pPr>
        <w:pStyle w:val="54"/>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r>
        <w:rPr>
          <w:rFonts w:asciiTheme="minorEastAsia" w:hAnsiTheme="minorEastAsia"/>
          <w:color w:val="auto"/>
          <w:sz w:val="24"/>
          <w:szCs w:val="24"/>
          <w:highlight w:val="none"/>
          <w:u w:val="single"/>
        </w:rPr>
        <w:t>　　　　　　　　</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153B7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18A1A2AF">
            <w:pPr>
              <w:spacing w:line="360" w:lineRule="auto"/>
              <w:jc w:val="center"/>
              <w:rPr>
                <w:rFonts w:asciiTheme="minorEastAsia" w:hAnsiTheme="minorEastAsia"/>
                <w:color w:val="auto"/>
                <w:sz w:val="24"/>
                <w:szCs w:val="24"/>
                <w:highlight w:val="none"/>
              </w:rPr>
            </w:pPr>
          </w:p>
        </w:tc>
        <w:tc>
          <w:tcPr>
            <w:tcW w:w="7122" w:type="dxa"/>
            <w:gridSpan w:val="3"/>
            <w:vAlign w:val="center"/>
          </w:tcPr>
          <w:p w14:paraId="29122502">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本采购包内属于节能、环境标志产品情况</w:t>
            </w:r>
          </w:p>
        </w:tc>
      </w:tr>
      <w:tr w14:paraId="2CE78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3879CA37">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w:t>
            </w:r>
          </w:p>
        </w:tc>
        <w:tc>
          <w:tcPr>
            <w:tcW w:w="1187" w:type="dxa"/>
            <w:vAlign w:val="center"/>
          </w:tcPr>
          <w:p w14:paraId="79C9DA12">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品目号</w:t>
            </w:r>
          </w:p>
        </w:tc>
        <w:tc>
          <w:tcPr>
            <w:tcW w:w="1187" w:type="dxa"/>
            <w:vAlign w:val="center"/>
          </w:tcPr>
          <w:p w14:paraId="31ACDF5F">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产品名称</w:t>
            </w:r>
          </w:p>
        </w:tc>
        <w:tc>
          <w:tcPr>
            <w:tcW w:w="4748" w:type="dxa"/>
            <w:vAlign w:val="center"/>
          </w:tcPr>
          <w:p w14:paraId="43CE6BB8">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认证种类</w:t>
            </w:r>
          </w:p>
        </w:tc>
      </w:tr>
      <w:tr w14:paraId="5873D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Merge w:val="restart"/>
            <w:vAlign w:val="center"/>
          </w:tcPr>
          <w:p w14:paraId="1C8018D6">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187" w:type="dxa"/>
            <w:vAlign w:val="center"/>
          </w:tcPr>
          <w:p w14:paraId="08B6CF86">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1187" w:type="dxa"/>
            <w:vAlign w:val="center"/>
          </w:tcPr>
          <w:p w14:paraId="0DAD1B59">
            <w:pPr>
              <w:spacing w:line="360" w:lineRule="auto"/>
              <w:jc w:val="center"/>
              <w:rPr>
                <w:rFonts w:asciiTheme="minorEastAsia" w:hAnsiTheme="minorEastAsia"/>
                <w:color w:val="auto"/>
                <w:sz w:val="24"/>
                <w:szCs w:val="24"/>
                <w:highlight w:val="none"/>
              </w:rPr>
            </w:pPr>
          </w:p>
        </w:tc>
        <w:tc>
          <w:tcPr>
            <w:tcW w:w="4748" w:type="dxa"/>
            <w:vAlign w:val="center"/>
          </w:tcPr>
          <w:p w14:paraId="710C6A3B">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供应商自行填写种类，并上传证明附件以便评审查看</w:t>
            </w:r>
          </w:p>
        </w:tc>
      </w:tr>
      <w:tr w14:paraId="3C0CD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Merge w:val="continue"/>
            <w:vAlign w:val="center"/>
          </w:tcPr>
          <w:p w14:paraId="7DD92D20">
            <w:pPr>
              <w:spacing w:line="360" w:lineRule="auto"/>
              <w:jc w:val="center"/>
              <w:rPr>
                <w:rFonts w:asciiTheme="minorEastAsia" w:hAnsiTheme="minorEastAsia"/>
                <w:color w:val="auto"/>
                <w:sz w:val="24"/>
                <w:szCs w:val="24"/>
                <w:highlight w:val="none"/>
              </w:rPr>
            </w:pPr>
          </w:p>
        </w:tc>
        <w:tc>
          <w:tcPr>
            <w:tcW w:w="1187" w:type="dxa"/>
            <w:vAlign w:val="center"/>
          </w:tcPr>
          <w:p w14:paraId="0577327C">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53EDB594">
            <w:pPr>
              <w:pStyle w:val="54"/>
              <w:spacing w:line="360" w:lineRule="auto"/>
              <w:jc w:val="center"/>
              <w:rPr>
                <w:rFonts w:hint="default" w:asciiTheme="minorEastAsia" w:hAnsiTheme="minorEastAsia"/>
                <w:color w:val="auto"/>
                <w:sz w:val="24"/>
                <w:szCs w:val="24"/>
                <w:highlight w:val="none"/>
              </w:rPr>
            </w:pPr>
          </w:p>
        </w:tc>
        <w:tc>
          <w:tcPr>
            <w:tcW w:w="1187" w:type="dxa"/>
            <w:vAlign w:val="center"/>
          </w:tcPr>
          <w:p w14:paraId="2B7791E8">
            <w:pPr>
              <w:spacing w:line="360" w:lineRule="auto"/>
              <w:jc w:val="center"/>
              <w:rPr>
                <w:rFonts w:asciiTheme="minorEastAsia" w:hAnsiTheme="minorEastAsia"/>
                <w:color w:val="auto"/>
                <w:sz w:val="24"/>
                <w:szCs w:val="24"/>
                <w:highlight w:val="none"/>
              </w:rPr>
            </w:pPr>
          </w:p>
        </w:tc>
        <w:tc>
          <w:tcPr>
            <w:tcW w:w="4748" w:type="dxa"/>
            <w:vAlign w:val="center"/>
          </w:tcPr>
          <w:p w14:paraId="7F1E270C">
            <w:pPr>
              <w:spacing w:line="360" w:lineRule="auto"/>
              <w:jc w:val="center"/>
              <w:rPr>
                <w:rFonts w:asciiTheme="minorEastAsia" w:hAnsiTheme="minorEastAsia"/>
                <w:color w:val="auto"/>
                <w:sz w:val="24"/>
                <w:szCs w:val="24"/>
                <w:highlight w:val="none"/>
              </w:rPr>
            </w:pPr>
          </w:p>
        </w:tc>
      </w:tr>
      <w:tr w14:paraId="4A1C4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center"/>
          </w:tcPr>
          <w:p w14:paraId="20720DDB">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w:t>
            </w:r>
          </w:p>
        </w:tc>
        <w:tc>
          <w:tcPr>
            <w:tcW w:w="7122" w:type="dxa"/>
            <w:gridSpan w:val="3"/>
            <w:vAlign w:val="center"/>
          </w:tcPr>
          <w:p w14:paraId="7151D38A">
            <w:pPr>
              <w:pStyle w:val="54"/>
              <w:spacing w:line="360" w:lineRule="auto"/>
              <w:jc w:val="center"/>
              <w:rPr>
                <w:rFonts w:hint="default" w:asciiTheme="minorEastAsia" w:hAnsiTheme="minorEastAsia"/>
                <w:color w:val="auto"/>
                <w:sz w:val="24"/>
                <w:szCs w:val="24"/>
                <w:highlight w:val="none"/>
              </w:rPr>
            </w:pPr>
          </w:p>
        </w:tc>
      </w:tr>
    </w:tbl>
    <w:p w14:paraId="7B7C9A7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63A6BA0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1、对节能、环境标志产品计算价格扣除时，只依据电子投标文件“投标（响应）报价明细表”以及“优先类节能产品、环境标志产品证明材料（价格扣除适用，若有）”。</w:t>
      </w:r>
    </w:p>
    <w:p w14:paraId="0A976FB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2、本表以采购包为单位，不同采购包请分别填写；同一采购包请按照其品目号顺序分别填写。</w:t>
      </w:r>
    </w:p>
    <w:p w14:paraId="56D7073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3、具体统计、计算：</w:t>
      </w:r>
    </w:p>
    <w:p w14:paraId="6EB6466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3.1同一品目中各认证证书不重复计算价格扣除。</w:t>
      </w:r>
    </w:p>
    <w:p w14:paraId="5997347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3.2计算结果若除不尽，可四舍五入保留到小数点后两位。</w:t>
      </w:r>
    </w:p>
    <w:p w14:paraId="3C3DF49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3.3投标人（供应商）按照采购文件要求认真统计、计算。</w:t>
      </w:r>
    </w:p>
    <w:p w14:paraId="7AFA5DE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3.4若无节能、环境标志产品，不填写本表。</w:t>
      </w:r>
    </w:p>
    <w:p w14:paraId="2ED06DA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3.5强制类节能产品不享受价格扣除。</w:t>
      </w:r>
    </w:p>
    <w:p w14:paraId="6BF4A079">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390AEA83">
      <w:pPr>
        <w:pStyle w:val="54"/>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39F5AE33">
      <w:pPr>
        <w:rPr>
          <w:color w:val="auto"/>
          <w:highlight w:val="none"/>
        </w:rPr>
      </w:pPr>
    </w:p>
    <w:p w14:paraId="04CDE52E">
      <w:pPr>
        <w:rPr>
          <w:color w:val="auto"/>
          <w:highlight w:val="none"/>
        </w:rPr>
        <w:sectPr>
          <w:pgSz w:w="11906" w:h="16838"/>
          <w:pgMar w:top="1418" w:right="1418" w:bottom="1418" w:left="1418" w:header="851" w:footer="992" w:gutter="0"/>
          <w:cols w:space="425" w:num="1"/>
          <w:docGrid w:type="lines" w:linePitch="312" w:charSpace="0"/>
        </w:sectPr>
      </w:pPr>
    </w:p>
    <w:p w14:paraId="73B74DB1">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三-1-②优先类节能产品、环境标志产品证明材料（价格扣除适用，若有）</w:t>
      </w:r>
    </w:p>
    <w:p w14:paraId="20C05EDB">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三-2小型、微型企业产品等价格扣除证明材料（若有）</w:t>
      </w:r>
    </w:p>
    <w:p w14:paraId="01D4E0D0">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三-2-①中小企业声明函（价格扣除适用，若有）</w:t>
      </w:r>
    </w:p>
    <w:p w14:paraId="0EC3B7D0">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中小企业声明函（货物）</w:t>
      </w:r>
    </w:p>
    <w:p w14:paraId="58F32A2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本公司（联合体）郑重声明，根据《政府采购促进中小企业发展管理办法》（财库﹝2020﹞46 号）的规定，本公司（联合体）参加</w:t>
      </w:r>
      <w:r>
        <w:rPr>
          <w:rFonts w:asciiTheme="minorEastAsia" w:hAnsiTheme="minorEastAsia"/>
          <w:color w:val="auto"/>
          <w:sz w:val="24"/>
          <w:szCs w:val="24"/>
          <w:highlight w:val="none"/>
          <w:u w:val="single"/>
        </w:rPr>
        <w:t>（单位名称）</w:t>
      </w:r>
      <w:r>
        <w:rPr>
          <w:rFonts w:asciiTheme="minorEastAsia" w:hAnsiTheme="minorEastAsia"/>
          <w:color w:val="auto"/>
          <w:sz w:val="24"/>
          <w:szCs w:val="24"/>
          <w:highlight w:val="none"/>
        </w:rPr>
        <w:t>的</w:t>
      </w:r>
      <w:r>
        <w:rPr>
          <w:rFonts w:asciiTheme="minorEastAsia" w:hAnsiTheme="minorEastAsia"/>
          <w:color w:val="auto"/>
          <w:sz w:val="24"/>
          <w:szCs w:val="24"/>
          <w:highlight w:val="none"/>
          <w:u w:val="single"/>
        </w:rPr>
        <w:t>（项目名称）</w:t>
      </w:r>
      <w:r>
        <w:rPr>
          <w:rFonts w:asciiTheme="minorEastAsia" w:hAnsiTheme="minorEastAsia"/>
          <w:color w:val="auto"/>
          <w:sz w:val="24"/>
          <w:szCs w:val="24"/>
          <w:highlight w:val="none"/>
        </w:rPr>
        <w:t>采购活动，提供的货物全部由符合政策要求的中小企业制造。相关企业（含联合体中的中小企业、签订分包意向协议的中小企业）的具体情况如下：</w:t>
      </w:r>
    </w:p>
    <w:p w14:paraId="54CF7C0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r>
        <w:rPr>
          <w:rFonts w:asciiTheme="minorEastAsia" w:hAnsiTheme="minorEastAsia"/>
          <w:color w:val="auto"/>
          <w:sz w:val="24"/>
          <w:szCs w:val="24"/>
          <w:highlight w:val="none"/>
          <w:u w:val="single"/>
        </w:rPr>
        <w:t xml:space="preserve"> （标的名称） </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行业；制造商为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w:t>
      </w:r>
      <w:r>
        <w:rPr>
          <w:rFonts w:cs="宋体" w:asciiTheme="minorEastAsia" w:hAnsiTheme="minorEastAsia"/>
          <w:color w:val="auto"/>
          <w:sz w:val="24"/>
          <w:szCs w:val="24"/>
          <w:highlight w:val="none"/>
          <w:vertAlign w:val="superscript"/>
        </w:rPr>
        <w:t>1</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5331E66C">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w:t>
      </w:r>
      <w:r>
        <w:rPr>
          <w:rFonts w:asciiTheme="minorEastAsia" w:hAnsiTheme="minorEastAsia"/>
          <w:color w:val="auto"/>
          <w:sz w:val="24"/>
          <w:szCs w:val="24"/>
          <w:highlight w:val="none"/>
          <w:u w:val="single"/>
        </w:rPr>
        <w:t xml:space="preserve"> （标的名称） </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行业；制造商为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427D02C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266828D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以上企业，不属于大企业的分支机构，不存在控股股东为大企业的情形，也不存在与大企业的负责人为同一人的情形。</w:t>
      </w:r>
    </w:p>
    <w:p w14:paraId="4E2E462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本企业对上述声明内容的真实性负责。如有虚假，将依法承担相应责任。</w:t>
      </w:r>
    </w:p>
    <w:p w14:paraId="265CE5E2">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706CDC3F">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5CE8AFD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798677B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1、从业人员、营业收入、资产总额填报上一年度数据，无上一年度数据的新成立企业可不填报。</w:t>
      </w:r>
    </w:p>
    <w:p w14:paraId="7389DE2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CEBC3A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8D1132C">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中小企业声明函（工程、服务）</w:t>
      </w:r>
    </w:p>
    <w:p w14:paraId="008051F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本公司（联合体）郑重声明，根据《政府采购促进中小企业发展管理办法》（财库﹝2020﹞46 号）的规定，本公司（联合体）参加</w:t>
      </w:r>
      <w:r>
        <w:rPr>
          <w:rFonts w:asciiTheme="minorEastAsia" w:hAnsiTheme="minorEastAsia"/>
          <w:color w:val="auto"/>
          <w:sz w:val="24"/>
          <w:szCs w:val="24"/>
          <w:highlight w:val="none"/>
          <w:u w:val="single"/>
        </w:rPr>
        <w:t>（单位名称）</w:t>
      </w:r>
      <w:r>
        <w:rPr>
          <w:rFonts w:asciiTheme="minorEastAsia" w:hAnsiTheme="minorEastAsia"/>
          <w:color w:val="auto"/>
          <w:sz w:val="24"/>
          <w:szCs w:val="24"/>
          <w:highlight w:val="none"/>
        </w:rPr>
        <w:t>的</w:t>
      </w:r>
      <w:r>
        <w:rPr>
          <w:rFonts w:asciiTheme="minorEastAsia" w:hAnsiTheme="minorEastAsia"/>
          <w:color w:val="auto"/>
          <w:sz w:val="24"/>
          <w:szCs w:val="24"/>
          <w:highlight w:val="none"/>
          <w:u w:val="single"/>
        </w:rPr>
        <w:t>（项目名称）</w:t>
      </w:r>
      <w:r>
        <w:rPr>
          <w:rFonts w:asciiTheme="minorEastAsia" w:hAnsiTheme="minorEastAsia"/>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470D8E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r>
        <w:rPr>
          <w:rFonts w:asciiTheme="minorEastAsia" w:hAnsiTheme="minorEastAsia"/>
          <w:color w:val="auto"/>
          <w:sz w:val="24"/>
          <w:szCs w:val="24"/>
          <w:highlight w:val="none"/>
          <w:u w:val="single"/>
        </w:rPr>
        <w:t>（标的名称）</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；承建（承接）企业为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w:t>
      </w:r>
      <w:r>
        <w:rPr>
          <w:rFonts w:cs="宋体" w:asciiTheme="minorEastAsia" w:hAnsiTheme="minorEastAsia"/>
          <w:color w:val="auto"/>
          <w:sz w:val="24"/>
          <w:szCs w:val="24"/>
          <w:highlight w:val="none"/>
          <w:vertAlign w:val="superscript"/>
        </w:rPr>
        <w:t>1</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280E86F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w:t>
      </w:r>
      <w:r>
        <w:rPr>
          <w:rFonts w:asciiTheme="minorEastAsia" w:hAnsiTheme="minorEastAsia"/>
          <w:color w:val="auto"/>
          <w:sz w:val="24"/>
          <w:szCs w:val="24"/>
          <w:highlight w:val="none"/>
          <w:u w:val="single"/>
        </w:rPr>
        <w:t>（标的名称）</w:t>
      </w:r>
      <w:r>
        <w:rPr>
          <w:rFonts w:asciiTheme="minorEastAsia" w:hAnsiTheme="minorEastAsia"/>
          <w:color w:val="auto"/>
          <w:sz w:val="24"/>
          <w:szCs w:val="24"/>
          <w:highlight w:val="none"/>
        </w:rPr>
        <w:t>，属于</w:t>
      </w:r>
      <w:r>
        <w:rPr>
          <w:rFonts w:asciiTheme="minorEastAsia" w:hAnsiTheme="minorEastAsia"/>
          <w:color w:val="auto"/>
          <w:sz w:val="24"/>
          <w:szCs w:val="24"/>
          <w:highlight w:val="none"/>
          <w:u w:val="single"/>
        </w:rPr>
        <w:t>（采购文件中明确的所属行业）</w:t>
      </w:r>
      <w:r>
        <w:rPr>
          <w:rFonts w:asciiTheme="minorEastAsia" w:hAnsiTheme="minorEastAsia"/>
          <w:color w:val="auto"/>
          <w:sz w:val="24"/>
          <w:szCs w:val="24"/>
          <w:highlight w:val="none"/>
        </w:rPr>
        <w:t>；承建（承接）企业为</w:t>
      </w:r>
      <w:r>
        <w:rPr>
          <w:rFonts w:asciiTheme="minorEastAsia" w:hAnsiTheme="minorEastAsia"/>
          <w:color w:val="auto"/>
          <w:sz w:val="24"/>
          <w:szCs w:val="24"/>
          <w:highlight w:val="none"/>
          <w:u w:val="single"/>
        </w:rPr>
        <w:t>（企业名称）</w:t>
      </w:r>
      <w:r>
        <w:rPr>
          <w:rFonts w:asciiTheme="minorEastAsia" w:hAnsiTheme="minorEastAsia"/>
          <w:color w:val="auto"/>
          <w:sz w:val="24"/>
          <w:szCs w:val="24"/>
          <w:highlight w:val="none"/>
        </w:rPr>
        <w:t>，从业人员</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人，营业收入为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万元，资产总额为</w:t>
      </w:r>
      <w:r>
        <w:rPr>
          <w:rFonts w:asciiTheme="minorEastAsia" w:hAnsiTheme="minorEastAsia"/>
          <w:color w:val="auto"/>
          <w:sz w:val="24"/>
          <w:szCs w:val="24"/>
          <w:highlight w:val="none"/>
          <w:u w:val="single"/>
        </w:rPr>
        <w:t>　　　　　</w:t>
      </w:r>
      <w:r>
        <w:rPr>
          <w:rFonts w:asciiTheme="minorEastAsia" w:hAnsiTheme="minorEastAsia"/>
          <w:color w:val="auto"/>
          <w:sz w:val="24"/>
          <w:szCs w:val="24"/>
          <w:highlight w:val="none"/>
        </w:rPr>
        <w:t>万元，属于</w:t>
      </w:r>
      <w:r>
        <w:rPr>
          <w:rFonts w:asciiTheme="minorEastAsia" w:hAnsiTheme="minorEastAsia"/>
          <w:color w:val="auto"/>
          <w:sz w:val="24"/>
          <w:szCs w:val="24"/>
          <w:highlight w:val="none"/>
          <w:u w:val="single"/>
        </w:rPr>
        <w:t>（中型企业、小型企业、微型企业）</w:t>
      </w:r>
      <w:r>
        <w:rPr>
          <w:rFonts w:asciiTheme="minorEastAsia" w:hAnsiTheme="minorEastAsia"/>
          <w:color w:val="auto"/>
          <w:sz w:val="24"/>
          <w:szCs w:val="24"/>
          <w:highlight w:val="none"/>
        </w:rPr>
        <w:t>；</w:t>
      </w:r>
    </w:p>
    <w:p w14:paraId="1A836C7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p w14:paraId="74B9896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以上企业，不属于大企业的分支机构，不存在控股股东为大企业的情形，也不存在与大企业的负责人为同一人的情形。</w:t>
      </w:r>
    </w:p>
    <w:p w14:paraId="0D7449C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本企业对上述声明内容的真实性负责。如有虚假，将依法承担相应责任。</w:t>
      </w:r>
    </w:p>
    <w:p w14:paraId="1194EF06">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43EBEB8D">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75A2243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52BC83E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1、从业人员、营业收入、资产总额填报上一年度数据，无上一年度数据的新成立企业可不填报。</w:t>
      </w:r>
    </w:p>
    <w:p w14:paraId="69F44A0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4063FE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F370F54">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三-2-②小型、微型企业等证明材料（价格扣除适用，若有）</w:t>
      </w:r>
    </w:p>
    <w:p w14:paraId="60563725">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编制说明</w:t>
      </w:r>
    </w:p>
    <w:p w14:paraId="1C79F8E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1、投标人为监狱企业的，根据其提供的由省级以上监狱管理局、戒毒管理局（含新疆生产建设兵团）出具的属于监狱企业的证明文件进行认定，监狱企业视同小型、微型企业。</w:t>
      </w:r>
    </w:p>
    <w:p w14:paraId="433026C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4E9A7347">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附：</w:t>
      </w:r>
    </w:p>
    <w:p w14:paraId="537C6F07">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残疾人福利性单位声明函（价格扣除适用，若有）</w:t>
      </w:r>
    </w:p>
    <w:p w14:paraId="5360FCF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B55959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D39F3C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）由本投标人承建的（填写“所投采购包、品目号”）工程</w:t>
      </w:r>
    </w:p>
    <w:p w14:paraId="3FFE5A5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 ）由本投标人承接的（填写“所投采购包、品目号”）服务；</w:t>
      </w:r>
    </w:p>
    <w:p w14:paraId="41E8786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本投标人对上述声明的真实性负责。如有虚假，将依法承担相应责任。</w:t>
      </w:r>
    </w:p>
    <w:p w14:paraId="40CD3EA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w:t>
      </w:r>
    </w:p>
    <w:p w14:paraId="105B4FAC">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1、请投标人按照实际情况编制填写本声明函，并在相应的（）中打“√”。</w:t>
      </w:r>
    </w:p>
    <w:p w14:paraId="4C6B8A9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2、若《残疾人福利性单位声明函》内容不真实，视为提供虚假材料。</w:t>
      </w:r>
    </w:p>
    <w:p w14:paraId="4306CCE2">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3C3FE07C">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7AF21CF7">
      <w:pPr>
        <w:pStyle w:val="54"/>
        <w:spacing w:line="360" w:lineRule="auto"/>
        <w:rPr>
          <w:rFonts w:hint="default" w:asciiTheme="minorEastAsia" w:hAnsiTheme="minorEastAsia"/>
          <w:color w:val="auto"/>
          <w:sz w:val="24"/>
          <w:szCs w:val="24"/>
          <w:highlight w:val="none"/>
        </w:rPr>
      </w:pPr>
    </w:p>
    <w:p w14:paraId="1CDCF0F5">
      <w:pPr>
        <w:pStyle w:val="54"/>
        <w:spacing w:line="360" w:lineRule="auto"/>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附：</w:t>
      </w:r>
    </w:p>
    <w:p w14:paraId="01324C48">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监狱企业证明材料</w:t>
      </w:r>
    </w:p>
    <w:p w14:paraId="73EA127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1559F9BB">
      <w:pPr>
        <w:rPr>
          <w:color w:val="auto"/>
          <w:highlight w:val="none"/>
        </w:rPr>
      </w:pPr>
    </w:p>
    <w:p w14:paraId="59AD1A92">
      <w:pPr>
        <w:rPr>
          <w:color w:val="auto"/>
          <w:highlight w:val="none"/>
        </w:rPr>
        <w:sectPr>
          <w:pgSz w:w="11906" w:h="16838"/>
          <w:pgMar w:top="1418" w:right="1418" w:bottom="1418" w:left="1418" w:header="851" w:footer="992" w:gutter="0"/>
          <w:cols w:space="425" w:num="1"/>
          <w:docGrid w:type="lines" w:linePitch="312" w:charSpace="0"/>
        </w:sectPr>
      </w:pPr>
    </w:p>
    <w:p w14:paraId="170F8DB5">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三-3招标文件规定的其他价格扣除证明材料（若有）</w:t>
      </w:r>
    </w:p>
    <w:p w14:paraId="5240EB9B">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编制说明</w:t>
      </w:r>
    </w:p>
    <w:p w14:paraId="5CB0251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15BA51EF">
      <w:pPr>
        <w:rPr>
          <w:color w:val="auto"/>
          <w:highlight w:val="none"/>
        </w:rPr>
      </w:pPr>
    </w:p>
    <w:p w14:paraId="3B36768F">
      <w:pPr>
        <w:rPr>
          <w:color w:val="auto"/>
          <w:highlight w:val="none"/>
        </w:rPr>
        <w:sectPr>
          <w:pgSz w:w="11906" w:h="16838"/>
          <w:pgMar w:top="1418" w:right="1418" w:bottom="1418" w:left="1418" w:header="851" w:footer="992" w:gutter="0"/>
          <w:cols w:space="425" w:num="1"/>
          <w:docGrid w:type="lines" w:linePitch="312" w:charSpace="0"/>
        </w:sectPr>
      </w:pPr>
    </w:p>
    <w:p w14:paraId="54538969">
      <w:pPr>
        <w:spacing w:beforeLines="50" w:afterLines="50"/>
        <w:jc w:val="center"/>
        <w:rPr>
          <w:b/>
          <w:color w:val="auto"/>
          <w:sz w:val="28"/>
          <w:szCs w:val="28"/>
          <w:highlight w:val="none"/>
        </w:rPr>
      </w:pPr>
      <w:r>
        <w:rPr>
          <w:b/>
          <w:color w:val="auto"/>
          <w:sz w:val="28"/>
          <w:szCs w:val="28"/>
          <w:highlight w:val="none"/>
        </w:rPr>
        <w:t>封面格式（</w:t>
      </w:r>
      <w:r>
        <w:rPr>
          <w:rFonts w:hint="eastAsia"/>
          <w:b/>
          <w:color w:val="auto"/>
          <w:sz w:val="28"/>
          <w:szCs w:val="28"/>
          <w:highlight w:val="none"/>
        </w:rPr>
        <w:t>技术</w:t>
      </w:r>
      <w:r>
        <w:rPr>
          <w:b/>
          <w:color w:val="auto"/>
          <w:sz w:val="28"/>
          <w:szCs w:val="28"/>
          <w:highlight w:val="none"/>
        </w:rPr>
        <w:t>商务部分）</w:t>
      </w:r>
    </w:p>
    <w:p w14:paraId="4575E5EE">
      <w:pPr>
        <w:jc w:val="center"/>
        <w:rPr>
          <w:rFonts w:ascii="宋体" w:hAnsi="宋体" w:eastAsia="宋体"/>
          <w:b/>
          <w:color w:val="auto"/>
          <w:sz w:val="32"/>
          <w:szCs w:val="32"/>
          <w:highlight w:val="none"/>
        </w:rPr>
      </w:pPr>
    </w:p>
    <w:p w14:paraId="76EFF4F2">
      <w:pPr>
        <w:jc w:val="center"/>
        <w:rPr>
          <w:rFonts w:ascii="宋体" w:hAnsi="宋体" w:eastAsia="宋体"/>
          <w:b/>
          <w:color w:val="auto"/>
          <w:sz w:val="32"/>
          <w:szCs w:val="32"/>
          <w:highlight w:val="none"/>
        </w:rPr>
      </w:pPr>
      <w:r>
        <w:rPr>
          <w:rFonts w:ascii="宋体" w:hAnsi="宋体" w:eastAsia="宋体"/>
          <w:b/>
          <w:color w:val="auto"/>
          <w:sz w:val="32"/>
          <w:szCs w:val="32"/>
          <w:highlight w:val="none"/>
        </w:rPr>
        <w:t>福建省政府采购投标文件</w:t>
      </w:r>
    </w:p>
    <w:p w14:paraId="719D335D">
      <w:pPr>
        <w:jc w:val="center"/>
        <w:rPr>
          <w:rFonts w:ascii="宋体" w:hAnsi="宋体" w:eastAsia="宋体"/>
          <w:b/>
          <w:color w:val="auto"/>
          <w:sz w:val="32"/>
          <w:szCs w:val="32"/>
          <w:highlight w:val="none"/>
        </w:rPr>
      </w:pPr>
      <w:r>
        <w:rPr>
          <w:rFonts w:ascii="宋体" w:hAnsi="宋体" w:eastAsia="宋体"/>
          <w:b/>
          <w:color w:val="auto"/>
          <w:sz w:val="32"/>
          <w:szCs w:val="32"/>
          <w:highlight w:val="none"/>
        </w:rPr>
        <w:t>（</w:t>
      </w:r>
      <w:r>
        <w:rPr>
          <w:rFonts w:hint="eastAsia" w:ascii="宋体" w:hAnsi="宋体" w:eastAsia="宋体"/>
          <w:b/>
          <w:color w:val="auto"/>
          <w:sz w:val="32"/>
          <w:szCs w:val="32"/>
          <w:highlight w:val="none"/>
        </w:rPr>
        <w:t>技术商务</w:t>
      </w:r>
      <w:r>
        <w:rPr>
          <w:rFonts w:ascii="宋体" w:hAnsi="宋体" w:eastAsia="宋体"/>
          <w:b/>
          <w:color w:val="auto"/>
          <w:sz w:val="32"/>
          <w:szCs w:val="32"/>
          <w:highlight w:val="none"/>
        </w:rPr>
        <w:t>部分）</w:t>
      </w:r>
    </w:p>
    <w:p w14:paraId="3423AB44">
      <w:pPr>
        <w:jc w:val="center"/>
        <w:rPr>
          <w:rFonts w:ascii="宋体" w:hAnsi="宋体" w:eastAsia="宋体"/>
          <w:b/>
          <w:color w:val="auto"/>
          <w:sz w:val="32"/>
          <w:szCs w:val="32"/>
          <w:highlight w:val="none"/>
        </w:rPr>
      </w:pPr>
      <w:r>
        <w:rPr>
          <w:rFonts w:ascii="宋体" w:hAnsi="宋体" w:eastAsia="宋体"/>
          <w:b/>
          <w:color w:val="auto"/>
          <w:sz w:val="32"/>
          <w:szCs w:val="32"/>
          <w:highlight w:val="none"/>
        </w:rPr>
        <w:t>（填写正本或副本）</w:t>
      </w:r>
    </w:p>
    <w:p w14:paraId="28BAC69B">
      <w:pPr>
        <w:jc w:val="center"/>
        <w:rPr>
          <w:rFonts w:ascii="宋体" w:hAnsi="宋体" w:eastAsia="宋体"/>
          <w:b/>
          <w:color w:val="auto"/>
          <w:sz w:val="32"/>
          <w:szCs w:val="32"/>
          <w:highlight w:val="none"/>
        </w:rPr>
      </w:pPr>
    </w:p>
    <w:p w14:paraId="6B0ABA6F">
      <w:pPr>
        <w:jc w:val="center"/>
        <w:rPr>
          <w:rFonts w:ascii="宋体" w:hAnsi="宋体" w:eastAsia="宋体"/>
          <w:b/>
          <w:color w:val="auto"/>
          <w:sz w:val="32"/>
          <w:szCs w:val="32"/>
          <w:highlight w:val="none"/>
        </w:rPr>
      </w:pPr>
    </w:p>
    <w:p w14:paraId="05B08EE5">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（项目名称：（由投标人填写）</w:t>
      </w:r>
    </w:p>
    <w:p w14:paraId="5804F5C1">
      <w:pPr>
        <w:jc w:val="center"/>
        <w:rPr>
          <w:rFonts w:ascii="宋体" w:hAnsi="宋体" w:eastAsia="宋体"/>
          <w:b/>
          <w:color w:val="auto"/>
          <w:sz w:val="32"/>
          <w:szCs w:val="32"/>
          <w:highlight w:val="none"/>
        </w:rPr>
      </w:pPr>
      <w:r>
        <w:rPr>
          <w:rFonts w:ascii="宋体" w:hAnsi="宋体" w:eastAsia="宋体"/>
          <w:b/>
          <w:color w:val="auto"/>
          <w:sz w:val="32"/>
          <w:szCs w:val="32"/>
          <w:highlight w:val="none"/>
        </w:rPr>
        <w:t>（备案编号：（由投标人填写）</w:t>
      </w:r>
    </w:p>
    <w:p w14:paraId="12A33E6F">
      <w:pPr>
        <w:jc w:val="center"/>
        <w:rPr>
          <w:rFonts w:ascii="宋体" w:hAnsi="宋体" w:eastAsia="宋体"/>
          <w:b/>
          <w:color w:val="auto"/>
          <w:sz w:val="32"/>
          <w:szCs w:val="32"/>
          <w:highlight w:val="none"/>
        </w:rPr>
      </w:pPr>
      <w:r>
        <w:rPr>
          <w:rFonts w:ascii="宋体" w:hAnsi="宋体" w:eastAsia="宋体"/>
          <w:b/>
          <w:color w:val="auto"/>
          <w:sz w:val="32"/>
          <w:szCs w:val="32"/>
          <w:highlight w:val="none"/>
        </w:rPr>
        <w:t>（项目编号：（由投标人填写）</w:t>
      </w:r>
    </w:p>
    <w:p w14:paraId="125669C0">
      <w:pPr>
        <w:jc w:val="center"/>
        <w:rPr>
          <w:rFonts w:ascii="宋体" w:hAnsi="宋体" w:eastAsia="宋体"/>
          <w:b/>
          <w:color w:val="auto"/>
          <w:sz w:val="32"/>
          <w:szCs w:val="32"/>
          <w:highlight w:val="none"/>
        </w:rPr>
      </w:pPr>
      <w:r>
        <w:rPr>
          <w:rFonts w:ascii="宋体" w:hAnsi="宋体" w:eastAsia="宋体"/>
          <w:b/>
          <w:color w:val="auto"/>
          <w:sz w:val="32"/>
          <w:szCs w:val="32"/>
          <w:highlight w:val="none"/>
        </w:rPr>
        <w:t>（所投采购包：（由投标人填写）</w:t>
      </w:r>
    </w:p>
    <w:p w14:paraId="5EFABDED">
      <w:pPr>
        <w:jc w:val="center"/>
        <w:rPr>
          <w:rFonts w:ascii="宋体" w:hAnsi="宋体" w:eastAsia="宋体"/>
          <w:b/>
          <w:color w:val="auto"/>
          <w:sz w:val="32"/>
          <w:szCs w:val="32"/>
          <w:highlight w:val="none"/>
        </w:rPr>
      </w:pPr>
    </w:p>
    <w:p w14:paraId="39C06795">
      <w:pPr>
        <w:jc w:val="center"/>
        <w:rPr>
          <w:rFonts w:ascii="宋体" w:hAnsi="宋体" w:eastAsia="宋体"/>
          <w:b/>
          <w:color w:val="auto"/>
          <w:sz w:val="32"/>
          <w:szCs w:val="32"/>
          <w:highlight w:val="none"/>
        </w:rPr>
      </w:pPr>
      <w:r>
        <w:rPr>
          <w:rFonts w:ascii="宋体" w:hAnsi="宋体" w:eastAsia="宋体"/>
          <w:b/>
          <w:color w:val="auto"/>
          <w:sz w:val="32"/>
          <w:szCs w:val="32"/>
          <w:highlight w:val="none"/>
        </w:rPr>
        <w:t>投标人：（填写“全称”）</w:t>
      </w:r>
    </w:p>
    <w:p w14:paraId="7DC38867">
      <w:pPr>
        <w:jc w:val="center"/>
        <w:rPr>
          <w:rFonts w:ascii="宋体" w:hAnsi="宋体" w:eastAsia="宋体"/>
          <w:b/>
          <w:color w:val="auto"/>
          <w:sz w:val="32"/>
          <w:szCs w:val="32"/>
          <w:highlight w:val="none"/>
        </w:rPr>
      </w:pPr>
      <w:r>
        <w:rPr>
          <w:rFonts w:ascii="宋体" w:hAnsi="宋体" w:eastAsia="宋体"/>
          <w:b/>
          <w:color w:val="auto"/>
          <w:sz w:val="32"/>
          <w:szCs w:val="32"/>
          <w:highlight w:val="none"/>
        </w:rPr>
        <w:t>（由投标人填写）年（由投标人填写）月</w:t>
      </w:r>
    </w:p>
    <w:p w14:paraId="49953186">
      <w:pPr>
        <w:rPr>
          <w:color w:val="auto"/>
          <w:highlight w:val="none"/>
        </w:rPr>
      </w:pPr>
    </w:p>
    <w:p w14:paraId="6C0DFE5D">
      <w:pPr>
        <w:rPr>
          <w:color w:val="auto"/>
          <w:highlight w:val="none"/>
        </w:rPr>
      </w:pPr>
    </w:p>
    <w:p w14:paraId="64789BC7">
      <w:pPr>
        <w:rPr>
          <w:color w:val="auto"/>
          <w:highlight w:val="none"/>
        </w:rPr>
        <w:sectPr>
          <w:pgSz w:w="11906" w:h="16838"/>
          <w:pgMar w:top="1418" w:right="1418" w:bottom="1418" w:left="1418" w:header="851" w:footer="992" w:gutter="0"/>
          <w:cols w:space="425" w:num="1"/>
          <w:docGrid w:type="lines" w:linePitch="312" w:charSpace="0"/>
        </w:sectPr>
      </w:pPr>
    </w:p>
    <w:p w14:paraId="215639C3">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索引</w:t>
      </w:r>
    </w:p>
    <w:p w14:paraId="4F6E7F9B">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一、标的说明一览表</w:t>
      </w:r>
    </w:p>
    <w:p w14:paraId="08FE501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二、技术和服务要求响应表</w:t>
      </w:r>
    </w:p>
    <w:p w14:paraId="6B45BBD6">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三、商务条件响应表</w:t>
      </w:r>
    </w:p>
    <w:p w14:paraId="7783F44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四、投标人提交的其他资料（若有）</w:t>
      </w:r>
    </w:p>
    <w:p w14:paraId="3E74050D">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344C122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技术商务部分中不得出现报价部分的全部或部分的投标报价信息（或组成资料），否则符合性审查不合格。</w:t>
      </w:r>
    </w:p>
    <w:p w14:paraId="0118C3A3">
      <w:pPr>
        <w:rPr>
          <w:color w:val="auto"/>
          <w:highlight w:val="none"/>
        </w:rPr>
      </w:pPr>
    </w:p>
    <w:p w14:paraId="267C4C4B">
      <w:pPr>
        <w:rPr>
          <w:color w:val="auto"/>
          <w:highlight w:val="none"/>
        </w:rPr>
        <w:sectPr>
          <w:pgSz w:w="11906" w:h="16838"/>
          <w:pgMar w:top="1418" w:right="1418" w:bottom="1418" w:left="1418" w:header="851" w:footer="992" w:gutter="0"/>
          <w:cols w:space="425" w:num="1"/>
          <w:docGrid w:type="lines" w:linePitch="312" w:charSpace="0"/>
        </w:sectPr>
      </w:pPr>
    </w:p>
    <w:p w14:paraId="12441125">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一、标的说明一览表</w:t>
      </w:r>
    </w:p>
    <w:p w14:paraId="0ED6C30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r>
        <w:rPr>
          <w:rFonts w:asciiTheme="minorEastAsia" w:hAnsiTheme="minorEastAsia"/>
          <w:color w:val="auto"/>
          <w:sz w:val="24"/>
          <w:szCs w:val="24"/>
          <w:highlight w:val="none"/>
          <w:u w:val="single"/>
        </w:rPr>
        <w:t>　　　　　　　　</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2"/>
        <w:gridCol w:w="1166"/>
        <w:gridCol w:w="1531"/>
        <w:gridCol w:w="1161"/>
        <w:gridCol w:w="1161"/>
        <w:gridCol w:w="1161"/>
        <w:gridCol w:w="1153"/>
      </w:tblGrid>
      <w:tr w14:paraId="10847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2" w:type="dxa"/>
            <w:vAlign w:val="center"/>
          </w:tcPr>
          <w:p w14:paraId="3131093C">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w:t>
            </w:r>
          </w:p>
        </w:tc>
        <w:tc>
          <w:tcPr>
            <w:tcW w:w="1166" w:type="dxa"/>
            <w:vAlign w:val="center"/>
          </w:tcPr>
          <w:p w14:paraId="757BE59B">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品目号</w:t>
            </w:r>
          </w:p>
        </w:tc>
        <w:tc>
          <w:tcPr>
            <w:tcW w:w="1531" w:type="dxa"/>
            <w:vAlign w:val="center"/>
          </w:tcPr>
          <w:p w14:paraId="742AC3ED">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投标标的</w:t>
            </w:r>
          </w:p>
        </w:tc>
        <w:tc>
          <w:tcPr>
            <w:tcW w:w="1161" w:type="dxa"/>
            <w:vAlign w:val="center"/>
          </w:tcPr>
          <w:p w14:paraId="2487125E">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数量</w:t>
            </w:r>
          </w:p>
        </w:tc>
        <w:tc>
          <w:tcPr>
            <w:tcW w:w="1161" w:type="dxa"/>
            <w:vAlign w:val="center"/>
          </w:tcPr>
          <w:p w14:paraId="6AE5F4D9">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规格</w:t>
            </w:r>
          </w:p>
        </w:tc>
        <w:tc>
          <w:tcPr>
            <w:tcW w:w="1161" w:type="dxa"/>
            <w:vAlign w:val="center"/>
          </w:tcPr>
          <w:p w14:paraId="435A3CDD">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来源地</w:t>
            </w:r>
          </w:p>
        </w:tc>
        <w:tc>
          <w:tcPr>
            <w:tcW w:w="1153" w:type="dxa"/>
            <w:vAlign w:val="center"/>
          </w:tcPr>
          <w:p w14:paraId="47DEFE75">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备注</w:t>
            </w:r>
          </w:p>
        </w:tc>
      </w:tr>
      <w:tr w14:paraId="11732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2" w:type="dxa"/>
            <w:vMerge w:val="restart"/>
            <w:vAlign w:val="center"/>
          </w:tcPr>
          <w:p w14:paraId="7E0EBEF9">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166" w:type="dxa"/>
            <w:vAlign w:val="center"/>
          </w:tcPr>
          <w:p w14:paraId="2E2F6B5B">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1531" w:type="dxa"/>
            <w:vAlign w:val="center"/>
          </w:tcPr>
          <w:p w14:paraId="368CC9D0">
            <w:pPr>
              <w:spacing w:line="360" w:lineRule="auto"/>
              <w:jc w:val="center"/>
              <w:rPr>
                <w:rFonts w:asciiTheme="minorEastAsia" w:hAnsiTheme="minorEastAsia"/>
                <w:color w:val="auto"/>
                <w:sz w:val="24"/>
                <w:szCs w:val="24"/>
                <w:highlight w:val="none"/>
              </w:rPr>
            </w:pPr>
          </w:p>
        </w:tc>
        <w:tc>
          <w:tcPr>
            <w:tcW w:w="1161" w:type="dxa"/>
            <w:vAlign w:val="center"/>
          </w:tcPr>
          <w:p w14:paraId="66AB43A7">
            <w:pPr>
              <w:spacing w:line="360" w:lineRule="auto"/>
              <w:jc w:val="center"/>
              <w:rPr>
                <w:rFonts w:asciiTheme="minorEastAsia" w:hAnsiTheme="minorEastAsia"/>
                <w:color w:val="auto"/>
                <w:sz w:val="24"/>
                <w:szCs w:val="24"/>
                <w:highlight w:val="none"/>
              </w:rPr>
            </w:pPr>
          </w:p>
        </w:tc>
        <w:tc>
          <w:tcPr>
            <w:tcW w:w="1161" w:type="dxa"/>
            <w:vAlign w:val="center"/>
          </w:tcPr>
          <w:p w14:paraId="19387413">
            <w:pPr>
              <w:spacing w:line="360" w:lineRule="auto"/>
              <w:jc w:val="center"/>
              <w:rPr>
                <w:rFonts w:asciiTheme="minorEastAsia" w:hAnsiTheme="minorEastAsia"/>
                <w:color w:val="auto"/>
                <w:sz w:val="24"/>
                <w:szCs w:val="24"/>
                <w:highlight w:val="none"/>
              </w:rPr>
            </w:pPr>
          </w:p>
        </w:tc>
        <w:tc>
          <w:tcPr>
            <w:tcW w:w="1161" w:type="dxa"/>
            <w:vAlign w:val="center"/>
          </w:tcPr>
          <w:p w14:paraId="0047EABC">
            <w:pPr>
              <w:spacing w:line="360" w:lineRule="auto"/>
              <w:jc w:val="center"/>
              <w:rPr>
                <w:rFonts w:asciiTheme="minorEastAsia" w:hAnsiTheme="minorEastAsia"/>
                <w:color w:val="auto"/>
                <w:sz w:val="24"/>
                <w:szCs w:val="24"/>
                <w:highlight w:val="none"/>
              </w:rPr>
            </w:pPr>
          </w:p>
        </w:tc>
        <w:tc>
          <w:tcPr>
            <w:tcW w:w="1153" w:type="dxa"/>
            <w:vAlign w:val="center"/>
          </w:tcPr>
          <w:p w14:paraId="45378AA3">
            <w:pPr>
              <w:spacing w:line="360" w:lineRule="auto"/>
              <w:jc w:val="center"/>
              <w:rPr>
                <w:rFonts w:asciiTheme="minorEastAsia" w:hAnsiTheme="minorEastAsia"/>
                <w:color w:val="auto"/>
                <w:sz w:val="24"/>
                <w:szCs w:val="24"/>
                <w:highlight w:val="none"/>
              </w:rPr>
            </w:pPr>
          </w:p>
        </w:tc>
      </w:tr>
      <w:tr w14:paraId="1ED09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2" w:type="dxa"/>
            <w:vMerge w:val="continue"/>
            <w:vAlign w:val="center"/>
          </w:tcPr>
          <w:p w14:paraId="3908FA3B">
            <w:pPr>
              <w:spacing w:line="360" w:lineRule="auto"/>
              <w:jc w:val="center"/>
              <w:rPr>
                <w:rFonts w:asciiTheme="minorEastAsia" w:hAnsiTheme="minorEastAsia"/>
                <w:color w:val="auto"/>
                <w:sz w:val="24"/>
                <w:szCs w:val="24"/>
                <w:highlight w:val="none"/>
              </w:rPr>
            </w:pPr>
          </w:p>
        </w:tc>
        <w:tc>
          <w:tcPr>
            <w:tcW w:w="1166" w:type="dxa"/>
            <w:vAlign w:val="center"/>
          </w:tcPr>
          <w:p w14:paraId="7B3628F6">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531" w:type="dxa"/>
            <w:vAlign w:val="center"/>
          </w:tcPr>
          <w:p w14:paraId="7A896C73">
            <w:pPr>
              <w:spacing w:line="360" w:lineRule="auto"/>
              <w:jc w:val="center"/>
              <w:rPr>
                <w:rFonts w:asciiTheme="minorEastAsia" w:hAnsiTheme="minorEastAsia"/>
                <w:color w:val="auto"/>
                <w:sz w:val="24"/>
                <w:szCs w:val="24"/>
                <w:highlight w:val="none"/>
              </w:rPr>
            </w:pPr>
          </w:p>
        </w:tc>
        <w:tc>
          <w:tcPr>
            <w:tcW w:w="1161" w:type="dxa"/>
            <w:vAlign w:val="center"/>
          </w:tcPr>
          <w:p w14:paraId="38F6BA2E">
            <w:pPr>
              <w:spacing w:line="360" w:lineRule="auto"/>
              <w:jc w:val="center"/>
              <w:rPr>
                <w:rFonts w:asciiTheme="minorEastAsia" w:hAnsiTheme="minorEastAsia"/>
                <w:color w:val="auto"/>
                <w:sz w:val="24"/>
                <w:szCs w:val="24"/>
                <w:highlight w:val="none"/>
              </w:rPr>
            </w:pPr>
          </w:p>
        </w:tc>
        <w:tc>
          <w:tcPr>
            <w:tcW w:w="1161" w:type="dxa"/>
            <w:vAlign w:val="center"/>
          </w:tcPr>
          <w:p w14:paraId="16D4DCDD">
            <w:pPr>
              <w:spacing w:line="360" w:lineRule="auto"/>
              <w:jc w:val="center"/>
              <w:rPr>
                <w:rFonts w:asciiTheme="minorEastAsia" w:hAnsiTheme="minorEastAsia"/>
                <w:color w:val="auto"/>
                <w:sz w:val="24"/>
                <w:szCs w:val="24"/>
                <w:highlight w:val="none"/>
              </w:rPr>
            </w:pPr>
          </w:p>
        </w:tc>
        <w:tc>
          <w:tcPr>
            <w:tcW w:w="1161" w:type="dxa"/>
            <w:vAlign w:val="center"/>
          </w:tcPr>
          <w:p w14:paraId="19CD1D5F">
            <w:pPr>
              <w:spacing w:line="360" w:lineRule="auto"/>
              <w:jc w:val="center"/>
              <w:rPr>
                <w:rFonts w:asciiTheme="minorEastAsia" w:hAnsiTheme="minorEastAsia"/>
                <w:color w:val="auto"/>
                <w:sz w:val="24"/>
                <w:szCs w:val="24"/>
                <w:highlight w:val="none"/>
              </w:rPr>
            </w:pPr>
          </w:p>
        </w:tc>
        <w:tc>
          <w:tcPr>
            <w:tcW w:w="1153" w:type="dxa"/>
            <w:vAlign w:val="center"/>
          </w:tcPr>
          <w:p w14:paraId="469B2ADB">
            <w:pPr>
              <w:spacing w:line="360" w:lineRule="auto"/>
              <w:jc w:val="center"/>
              <w:rPr>
                <w:rFonts w:asciiTheme="minorEastAsia" w:hAnsiTheme="minorEastAsia"/>
                <w:color w:val="auto"/>
                <w:sz w:val="24"/>
                <w:szCs w:val="24"/>
                <w:highlight w:val="none"/>
              </w:rPr>
            </w:pPr>
          </w:p>
        </w:tc>
      </w:tr>
      <w:tr w14:paraId="49C4E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2" w:type="dxa"/>
            <w:vAlign w:val="center"/>
          </w:tcPr>
          <w:p w14:paraId="7F8DC624">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166" w:type="dxa"/>
            <w:vAlign w:val="center"/>
          </w:tcPr>
          <w:p w14:paraId="6B3B2430">
            <w:pPr>
              <w:spacing w:line="360" w:lineRule="auto"/>
              <w:jc w:val="center"/>
              <w:rPr>
                <w:rFonts w:asciiTheme="minorEastAsia" w:hAnsiTheme="minorEastAsia"/>
                <w:color w:val="auto"/>
                <w:sz w:val="24"/>
                <w:szCs w:val="24"/>
                <w:highlight w:val="none"/>
              </w:rPr>
            </w:pPr>
          </w:p>
        </w:tc>
        <w:tc>
          <w:tcPr>
            <w:tcW w:w="1531" w:type="dxa"/>
            <w:vAlign w:val="center"/>
          </w:tcPr>
          <w:p w14:paraId="5A9E18E7">
            <w:pPr>
              <w:spacing w:line="360" w:lineRule="auto"/>
              <w:jc w:val="center"/>
              <w:rPr>
                <w:rFonts w:asciiTheme="minorEastAsia" w:hAnsiTheme="minorEastAsia"/>
                <w:color w:val="auto"/>
                <w:sz w:val="24"/>
                <w:szCs w:val="24"/>
                <w:highlight w:val="none"/>
              </w:rPr>
            </w:pPr>
          </w:p>
        </w:tc>
        <w:tc>
          <w:tcPr>
            <w:tcW w:w="1161" w:type="dxa"/>
            <w:vAlign w:val="center"/>
          </w:tcPr>
          <w:p w14:paraId="525E49AF">
            <w:pPr>
              <w:spacing w:line="360" w:lineRule="auto"/>
              <w:jc w:val="center"/>
              <w:rPr>
                <w:rFonts w:asciiTheme="minorEastAsia" w:hAnsiTheme="minorEastAsia"/>
                <w:color w:val="auto"/>
                <w:sz w:val="24"/>
                <w:szCs w:val="24"/>
                <w:highlight w:val="none"/>
              </w:rPr>
            </w:pPr>
          </w:p>
        </w:tc>
        <w:tc>
          <w:tcPr>
            <w:tcW w:w="1161" w:type="dxa"/>
            <w:vAlign w:val="center"/>
          </w:tcPr>
          <w:p w14:paraId="419AF657">
            <w:pPr>
              <w:spacing w:line="360" w:lineRule="auto"/>
              <w:jc w:val="center"/>
              <w:rPr>
                <w:rFonts w:asciiTheme="minorEastAsia" w:hAnsiTheme="minorEastAsia"/>
                <w:color w:val="auto"/>
                <w:sz w:val="24"/>
                <w:szCs w:val="24"/>
                <w:highlight w:val="none"/>
              </w:rPr>
            </w:pPr>
          </w:p>
        </w:tc>
        <w:tc>
          <w:tcPr>
            <w:tcW w:w="1161" w:type="dxa"/>
            <w:vAlign w:val="center"/>
          </w:tcPr>
          <w:p w14:paraId="7C5BC540">
            <w:pPr>
              <w:spacing w:line="360" w:lineRule="auto"/>
              <w:jc w:val="center"/>
              <w:rPr>
                <w:rFonts w:asciiTheme="minorEastAsia" w:hAnsiTheme="minorEastAsia"/>
                <w:color w:val="auto"/>
                <w:sz w:val="24"/>
                <w:szCs w:val="24"/>
                <w:highlight w:val="none"/>
              </w:rPr>
            </w:pPr>
          </w:p>
        </w:tc>
        <w:tc>
          <w:tcPr>
            <w:tcW w:w="1153" w:type="dxa"/>
            <w:vAlign w:val="center"/>
          </w:tcPr>
          <w:p w14:paraId="2627525F">
            <w:pPr>
              <w:spacing w:line="360" w:lineRule="auto"/>
              <w:jc w:val="center"/>
              <w:rPr>
                <w:rFonts w:asciiTheme="minorEastAsia" w:hAnsiTheme="minorEastAsia"/>
                <w:color w:val="auto"/>
                <w:sz w:val="24"/>
                <w:szCs w:val="24"/>
                <w:highlight w:val="none"/>
              </w:rPr>
            </w:pPr>
          </w:p>
        </w:tc>
      </w:tr>
    </w:tbl>
    <w:p w14:paraId="227DB08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08BCC9F7">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1、本表应按照下列规定填写：</w:t>
      </w:r>
    </w:p>
    <w:p w14:paraId="5AF45E68">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1.1“采购包”、“品目号”、“投标标的”及“数量”应与招标文件《采购标的一览表》中的有关内容（“采购包”、“品目号”、“采购标的”及“数量”）保持一致。</w:t>
      </w:r>
    </w:p>
    <w:p w14:paraId="24BAE74C">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2B1CCB7">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14:paraId="7A810F5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6EC127D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3、电子投标文件中涉及“投标标的”、“数量”、“规格”、“来源地”的内容若不一致，应以本表为准。</w:t>
      </w:r>
    </w:p>
    <w:p w14:paraId="3FFB83F6">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72448AC8">
      <w:pPr>
        <w:pStyle w:val="54"/>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46398930">
      <w:pPr>
        <w:rPr>
          <w:color w:val="auto"/>
          <w:highlight w:val="none"/>
        </w:rPr>
      </w:pPr>
    </w:p>
    <w:p w14:paraId="5D0B2FC8">
      <w:pPr>
        <w:rPr>
          <w:color w:val="auto"/>
          <w:highlight w:val="none"/>
        </w:rPr>
        <w:sectPr>
          <w:pgSz w:w="11906" w:h="16838"/>
          <w:pgMar w:top="1418" w:right="1418" w:bottom="1418" w:left="1418" w:header="851" w:footer="992" w:gutter="0"/>
          <w:cols w:space="425" w:num="1"/>
          <w:docGrid w:type="lines" w:linePitch="312" w:charSpace="0"/>
        </w:sectPr>
      </w:pPr>
    </w:p>
    <w:p w14:paraId="176F6674">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二、技术和服务要求响应表</w:t>
      </w:r>
    </w:p>
    <w:p w14:paraId="40C93E8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r>
        <w:rPr>
          <w:rFonts w:asciiTheme="minorEastAsia" w:hAnsiTheme="minorEastAsia"/>
          <w:color w:val="auto"/>
          <w:sz w:val="24"/>
          <w:szCs w:val="24"/>
          <w:highlight w:val="none"/>
          <w:u w:val="single"/>
        </w:rPr>
        <w:t>　　　　　　　　</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6"/>
        <w:gridCol w:w="1661"/>
        <w:gridCol w:w="2324"/>
        <w:gridCol w:w="1661"/>
        <w:gridCol w:w="1902"/>
      </w:tblGrid>
      <w:tr w14:paraId="5E0C6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6" w:type="dxa"/>
            <w:vAlign w:val="center"/>
          </w:tcPr>
          <w:p w14:paraId="5F5CA92E">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w:t>
            </w:r>
          </w:p>
        </w:tc>
        <w:tc>
          <w:tcPr>
            <w:tcW w:w="1661" w:type="dxa"/>
            <w:vAlign w:val="center"/>
          </w:tcPr>
          <w:p w14:paraId="129B6A6F">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品目号</w:t>
            </w:r>
          </w:p>
        </w:tc>
        <w:tc>
          <w:tcPr>
            <w:tcW w:w="2324" w:type="dxa"/>
            <w:vAlign w:val="center"/>
          </w:tcPr>
          <w:p w14:paraId="5CE6E333">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技术和服务要求</w:t>
            </w:r>
          </w:p>
        </w:tc>
        <w:tc>
          <w:tcPr>
            <w:tcW w:w="1661" w:type="dxa"/>
            <w:vAlign w:val="center"/>
          </w:tcPr>
          <w:p w14:paraId="7B0E169E">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投标响应</w:t>
            </w:r>
          </w:p>
        </w:tc>
        <w:tc>
          <w:tcPr>
            <w:tcW w:w="1902" w:type="dxa"/>
            <w:vAlign w:val="center"/>
          </w:tcPr>
          <w:p w14:paraId="3BCD2109">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是否偏离及说明</w:t>
            </w:r>
          </w:p>
        </w:tc>
      </w:tr>
      <w:tr w14:paraId="06564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6" w:type="dxa"/>
            <w:vMerge w:val="restart"/>
            <w:vAlign w:val="center"/>
          </w:tcPr>
          <w:p w14:paraId="2A6AA4A6">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661" w:type="dxa"/>
            <w:vAlign w:val="center"/>
          </w:tcPr>
          <w:p w14:paraId="5ABC9B5D">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2324" w:type="dxa"/>
            <w:vAlign w:val="center"/>
          </w:tcPr>
          <w:p w14:paraId="547FF3AC">
            <w:pPr>
              <w:spacing w:line="360" w:lineRule="auto"/>
              <w:jc w:val="center"/>
              <w:rPr>
                <w:rFonts w:asciiTheme="minorEastAsia" w:hAnsiTheme="minorEastAsia"/>
                <w:color w:val="auto"/>
                <w:sz w:val="24"/>
                <w:szCs w:val="24"/>
                <w:highlight w:val="none"/>
              </w:rPr>
            </w:pPr>
          </w:p>
        </w:tc>
        <w:tc>
          <w:tcPr>
            <w:tcW w:w="1661" w:type="dxa"/>
            <w:vAlign w:val="center"/>
          </w:tcPr>
          <w:p w14:paraId="58559AB8">
            <w:pPr>
              <w:spacing w:line="360" w:lineRule="auto"/>
              <w:jc w:val="center"/>
              <w:rPr>
                <w:rFonts w:asciiTheme="minorEastAsia" w:hAnsiTheme="minorEastAsia"/>
                <w:color w:val="auto"/>
                <w:sz w:val="24"/>
                <w:szCs w:val="24"/>
                <w:highlight w:val="none"/>
              </w:rPr>
            </w:pPr>
          </w:p>
        </w:tc>
        <w:tc>
          <w:tcPr>
            <w:tcW w:w="1902" w:type="dxa"/>
            <w:vAlign w:val="center"/>
          </w:tcPr>
          <w:p w14:paraId="5637BCB4">
            <w:pPr>
              <w:spacing w:line="360" w:lineRule="auto"/>
              <w:jc w:val="center"/>
              <w:rPr>
                <w:rFonts w:asciiTheme="minorEastAsia" w:hAnsiTheme="minorEastAsia"/>
                <w:color w:val="auto"/>
                <w:sz w:val="24"/>
                <w:szCs w:val="24"/>
                <w:highlight w:val="none"/>
              </w:rPr>
            </w:pPr>
          </w:p>
        </w:tc>
      </w:tr>
      <w:tr w14:paraId="5F67A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6" w:type="dxa"/>
            <w:vMerge w:val="continue"/>
            <w:vAlign w:val="center"/>
          </w:tcPr>
          <w:p w14:paraId="50D8A65E">
            <w:pPr>
              <w:spacing w:line="360" w:lineRule="auto"/>
              <w:jc w:val="center"/>
              <w:rPr>
                <w:rFonts w:asciiTheme="minorEastAsia" w:hAnsiTheme="minorEastAsia"/>
                <w:color w:val="auto"/>
                <w:sz w:val="24"/>
                <w:szCs w:val="24"/>
                <w:highlight w:val="none"/>
              </w:rPr>
            </w:pPr>
          </w:p>
        </w:tc>
        <w:tc>
          <w:tcPr>
            <w:tcW w:w="1661" w:type="dxa"/>
            <w:vAlign w:val="center"/>
          </w:tcPr>
          <w:p w14:paraId="1A4FADA3">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2324" w:type="dxa"/>
            <w:vAlign w:val="center"/>
          </w:tcPr>
          <w:p w14:paraId="5FFF50BD">
            <w:pPr>
              <w:spacing w:line="360" w:lineRule="auto"/>
              <w:jc w:val="center"/>
              <w:rPr>
                <w:rFonts w:asciiTheme="minorEastAsia" w:hAnsiTheme="minorEastAsia"/>
                <w:color w:val="auto"/>
                <w:sz w:val="24"/>
                <w:szCs w:val="24"/>
                <w:highlight w:val="none"/>
              </w:rPr>
            </w:pPr>
          </w:p>
        </w:tc>
        <w:tc>
          <w:tcPr>
            <w:tcW w:w="1661" w:type="dxa"/>
            <w:vAlign w:val="center"/>
          </w:tcPr>
          <w:p w14:paraId="442C666F">
            <w:pPr>
              <w:spacing w:line="360" w:lineRule="auto"/>
              <w:jc w:val="center"/>
              <w:rPr>
                <w:rFonts w:asciiTheme="minorEastAsia" w:hAnsiTheme="minorEastAsia"/>
                <w:color w:val="auto"/>
                <w:sz w:val="24"/>
                <w:szCs w:val="24"/>
                <w:highlight w:val="none"/>
              </w:rPr>
            </w:pPr>
          </w:p>
        </w:tc>
        <w:tc>
          <w:tcPr>
            <w:tcW w:w="1902" w:type="dxa"/>
            <w:vAlign w:val="center"/>
          </w:tcPr>
          <w:p w14:paraId="2B146E03">
            <w:pPr>
              <w:spacing w:line="360" w:lineRule="auto"/>
              <w:jc w:val="center"/>
              <w:rPr>
                <w:rFonts w:asciiTheme="minorEastAsia" w:hAnsiTheme="minorEastAsia"/>
                <w:color w:val="auto"/>
                <w:sz w:val="24"/>
                <w:szCs w:val="24"/>
                <w:highlight w:val="none"/>
              </w:rPr>
            </w:pPr>
          </w:p>
        </w:tc>
      </w:tr>
      <w:tr w14:paraId="7D987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6" w:type="dxa"/>
            <w:vAlign w:val="center"/>
          </w:tcPr>
          <w:p w14:paraId="3FC78FA0">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661" w:type="dxa"/>
            <w:vAlign w:val="center"/>
          </w:tcPr>
          <w:p w14:paraId="0D096EBC">
            <w:pPr>
              <w:spacing w:line="360" w:lineRule="auto"/>
              <w:jc w:val="center"/>
              <w:rPr>
                <w:rFonts w:asciiTheme="minorEastAsia" w:hAnsiTheme="minorEastAsia"/>
                <w:color w:val="auto"/>
                <w:sz w:val="24"/>
                <w:szCs w:val="24"/>
                <w:highlight w:val="none"/>
              </w:rPr>
            </w:pPr>
          </w:p>
        </w:tc>
        <w:tc>
          <w:tcPr>
            <w:tcW w:w="2324" w:type="dxa"/>
            <w:vAlign w:val="center"/>
          </w:tcPr>
          <w:p w14:paraId="3E6B8BC5">
            <w:pPr>
              <w:spacing w:line="360" w:lineRule="auto"/>
              <w:jc w:val="center"/>
              <w:rPr>
                <w:rFonts w:asciiTheme="minorEastAsia" w:hAnsiTheme="minorEastAsia"/>
                <w:color w:val="auto"/>
                <w:sz w:val="24"/>
                <w:szCs w:val="24"/>
                <w:highlight w:val="none"/>
              </w:rPr>
            </w:pPr>
          </w:p>
        </w:tc>
        <w:tc>
          <w:tcPr>
            <w:tcW w:w="1661" w:type="dxa"/>
            <w:vAlign w:val="center"/>
          </w:tcPr>
          <w:p w14:paraId="372EA0BB">
            <w:pPr>
              <w:spacing w:line="360" w:lineRule="auto"/>
              <w:jc w:val="center"/>
              <w:rPr>
                <w:rFonts w:asciiTheme="minorEastAsia" w:hAnsiTheme="minorEastAsia"/>
                <w:color w:val="auto"/>
                <w:sz w:val="24"/>
                <w:szCs w:val="24"/>
                <w:highlight w:val="none"/>
              </w:rPr>
            </w:pPr>
          </w:p>
        </w:tc>
        <w:tc>
          <w:tcPr>
            <w:tcW w:w="1902" w:type="dxa"/>
            <w:vAlign w:val="center"/>
          </w:tcPr>
          <w:p w14:paraId="1EF4C4DB">
            <w:pPr>
              <w:spacing w:line="360" w:lineRule="auto"/>
              <w:jc w:val="center"/>
              <w:rPr>
                <w:rFonts w:asciiTheme="minorEastAsia" w:hAnsiTheme="minorEastAsia"/>
                <w:color w:val="auto"/>
                <w:sz w:val="24"/>
                <w:szCs w:val="24"/>
                <w:highlight w:val="none"/>
              </w:rPr>
            </w:pPr>
          </w:p>
        </w:tc>
      </w:tr>
    </w:tbl>
    <w:p w14:paraId="7D3906B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361128B4">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1、本表应按照下列规定填写：</w:t>
      </w:r>
    </w:p>
    <w:p w14:paraId="3E26DBF5">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1.1“技术和服务要求”项下填写的内容应与招标文件第五章“技术和服务要求”的内容保持一致。</w:t>
      </w:r>
    </w:p>
    <w:p w14:paraId="16DA3F41">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514992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1.3“是否偏离及说明”项下应按下列规定填写：优于的，填写“正偏离”；符合的，填写“无偏离”；低于的，填写“负偏离”。</w:t>
      </w:r>
    </w:p>
    <w:p w14:paraId="79DF134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19978D4C">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7642D11C">
      <w:pPr>
        <w:pStyle w:val="54"/>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145599F5">
      <w:pPr>
        <w:rPr>
          <w:color w:val="auto"/>
          <w:highlight w:val="none"/>
        </w:rPr>
      </w:pPr>
    </w:p>
    <w:p w14:paraId="5A5C7ACB">
      <w:pPr>
        <w:rPr>
          <w:color w:val="auto"/>
          <w:highlight w:val="none"/>
        </w:rPr>
        <w:sectPr>
          <w:pgSz w:w="11906" w:h="16838"/>
          <w:pgMar w:top="1418" w:right="1418" w:bottom="1418" w:left="1418" w:header="851" w:footer="992" w:gutter="0"/>
          <w:cols w:space="425" w:num="1"/>
          <w:docGrid w:type="lines" w:linePitch="312" w:charSpace="0"/>
        </w:sectPr>
      </w:pPr>
    </w:p>
    <w:p w14:paraId="53A2CF66">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三、商务条件响应表</w:t>
      </w:r>
    </w:p>
    <w:p w14:paraId="069F1642">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项目编号：</w:t>
      </w:r>
      <w:r>
        <w:rPr>
          <w:rFonts w:asciiTheme="minorEastAsia" w:hAnsiTheme="minorEastAsia"/>
          <w:color w:val="auto"/>
          <w:sz w:val="24"/>
          <w:szCs w:val="24"/>
          <w:highlight w:val="none"/>
          <w:u w:val="single"/>
        </w:rPr>
        <w:t>　　　　　　　　</w:t>
      </w:r>
    </w:p>
    <w:tbl>
      <w:tblPr>
        <w:tblStyle w:val="1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2188"/>
      </w:tblGrid>
      <w:tr w14:paraId="41B89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661" w:type="dxa"/>
            <w:vAlign w:val="center"/>
          </w:tcPr>
          <w:p w14:paraId="42E0B013">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采购包</w:t>
            </w:r>
          </w:p>
        </w:tc>
        <w:tc>
          <w:tcPr>
            <w:tcW w:w="1661" w:type="dxa"/>
            <w:vAlign w:val="center"/>
          </w:tcPr>
          <w:p w14:paraId="083C819B">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品目号</w:t>
            </w:r>
          </w:p>
        </w:tc>
        <w:tc>
          <w:tcPr>
            <w:tcW w:w="1661" w:type="dxa"/>
            <w:vAlign w:val="center"/>
          </w:tcPr>
          <w:p w14:paraId="233787EE">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商务条件</w:t>
            </w:r>
          </w:p>
        </w:tc>
        <w:tc>
          <w:tcPr>
            <w:tcW w:w="1661" w:type="dxa"/>
            <w:vAlign w:val="center"/>
          </w:tcPr>
          <w:p w14:paraId="5F7A69D4">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投标响应</w:t>
            </w:r>
          </w:p>
        </w:tc>
        <w:tc>
          <w:tcPr>
            <w:tcW w:w="2188" w:type="dxa"/>
            <w:vAlign w:val="center"/>
          </w:tcPr>
          <w:p w14:paraId="60481978">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是否偏离及说明</w:t>
            </w:r>
          </w:p>
        </w:tc>
      </w:tr>
      <w:tr w14:paraId="6BDE6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Merge w:val="restart"/>
            <w:vAlign w:val="center"/>
          </w:tcPr>
          <w:p w14:paraId="5E036BA3">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661" w:type="dxa"/>
            <w:vAlign w:val="center"/>
          </w:tcPr>
          <w:p w14:paraId="278C5C2A">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w:t>
            </w:r>
          </w:p>
        </w:tc>
        <w:tc>
          <w:tcPr>
            <w:tcW w:w="1661" w:type="dxa"/>
            <w:vAlign w:val="center"/>
          </w:tcPr>
          <w:p w14:paraId="2314F75F">
            <w:pPr>
              <w:spacing w:line="360" w:lineRule="auto"/>
              <w:jc w:val="center"/>
              <w:rPr>
                <w:rFonts w:asciiTheme="minorEastAsia" w:hAnsiTheme="minorEastAsia"/>
                <w:color w:val="auto"/>
                <w:sz w:val="24"/>
                <w:szCs w:val="24"/>
                <w:highlight w:val="none"/>
              </w:rPr>
            </w:pPr>
          </w:p>
        </w:tc>
        <w:tc>
          <w:tcPr>
            <w:tcW w:w="1661" w:type="dxa"/>
            <w:vAlign w:val="center"/>
          </w:tcPr>
          <w:p w14:paraId="0C1548CC">
            <w:pPr>
              <w:spacing w:line="360" w:lineRule="auto"/>
              <w:jc w:val="center"/>
              <w:rPr>
                <w:rFonts w:asciiTheme="minorEastAsia" w:hAnsiTheme="minorEastAsia"/>
                <w:color w:val="auto"/>
                <w:sz w:val="24"/>
                <w:szCs w:val="24"/>
                <w:highlight w:val="none"/>
              </w:rPr>
            </w:pPr>
          </w:p>
        </w:tc>
        <w:tc>
          <w:tcPr>
            <w:tcW w:w="2188" w:type="dxa"/>
            <w:vAlign w:val="center"/>
          </w:tcPr>
          <w:p w14:paraId="45A98395">
            <w:pPr>
              <w:spacing w:line="360" w:lineRule="auto"/>
              <w:jc w:val="center"/>
              <w:rPr>
                <w:rFonts w:asciiTheme="minorEastAsia" w:hAnsiTheme="minorEastAsia"/>
                <w:color w:val="auto"/>
                <w:sz w:val="24"/>
                <w:szCs w:val="24"/>
                <w:highlight w:val="none"/>
              </w:rPr>
            </w:pPr>
          </w:p>
        </w:tc>
      </w:tr>
      <w:tr w14:paraId="45D08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Merge w:val="continue"/>
            <w:vAlign w:val="center"/>
          </w:tcPr>
          <w:p w14:paraId="468AB350">
            <w:pPr>
              <w:spacing w:line="360" w:lineRule="auto"/>
              <w:jc w:val="center"/>
              <w:rPr>
                <w:rFonts w:asciiTheme="minorEastAsia" w:hAnsiTheme="minorEastAsia"/>
                <w:color w:val="auto"/>
                <w:sz w:val="24"/>
                <w:szCs w:val="24"/>
                <w:highlight w:val="none"/>
              </w:rPr>
            </w:pPr>
          </w:p>
        </w:tc>
        <w:tc>
          <w:tcPr>
            <w:tcW w:w="1661" w:type="dxa"/>
            <w:vAlign w:val="center"/>
          </w:tcPr>
          <w:p w14:paraId="4C4BF1F0">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661" w:type="dxa"/>
            <w:vAlign w:val="center"/>
          </w:tcPr>
          <w:p w14:paraId="7198D07B">
            <w:pPr>
              <w:spacing w:line="360" w:lineRule="auto"/>
              <w:jc w:val="center"/>
              <w:rPr>
                <w:rFonts w:asciiTheme="minorEastAsia" w:hAnsiTheme="minorEastAsia"/>
                <w:color w:val="auto"/>
                <w:sz w:val="24"/>
                <w:szCs w:val="24"/>
                <w:highlight w:val="none"/>
              </w:rPr>
            </w:pPr>
          </w:p>
        </w:tc>
        <w:tc>
          <w:tcPr>
            <w:tcW w:w="1661" w:type="dxa"/>
            <w:vAlign w:val="center"/>
          </w:tcPr>
          <w:p w14:paraId="45F6670A">
            <w:pPr>
              <w:spacing w:line="360" w:lineRule="auto"/>
              <w:jc w:val="center"/>
              <w:rPr>
                <w:rFonts w:asciiTheme="minorEastAsia" w:hAnsiTheme="minorEastAsia"/>
                <w:color w:val="auto"/>
                <w:sz w:val="24"/>
                <w:szCs w:val="24"/>
                <w:highlight w:val="none"/>
              </w:rPr>
            </w:pPr>
          </w:p>
        </w:tc>
        <w:tc>
          <w:tcPr>
            <w:tcW w:w="2188" w:type="dxa"/>
            <w:vAlign w:val="center"/>
          </w:tcPr>
          <w:p w14:paraId="6609EDA0">
            <w:pPr>
              <w:spacing w:line="360" w:lineRule="auto"/>
              <w:jc w:val="center"/>
              <w:rPr>
                <w:rFonts w:asciiTheme="minorEastAsia" w:hAnsiTheme="minorEastAsia"/>
                <w:color w:val="auto"/>
                <w:sz w:val="24"/>
                <w:szCs w:val="24"/>
                <w:highlight w:val="none"/>
              </w:rPr>
            </w:pPr>
          </w:p>
        </w:tc>
      </w:tr>
      <w:tr w14:paraId="03C4D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Align w:val="center"/>
          </w:tcPr>
          <w:p w14:paraId="61F2B001">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661" w:type="dxa"/>
            <w:vAlign w:val="center"/>
          </w:tcPr>
          <w:p w14:paraId="4FE2276F">
            <w:pPr>
              <w:spacing w:line="360" w:lineRule="auto"/>
              <w:jc w:val="center"/>
              <w:rPr>
                <w:rFonts w:asciiTheme="minorEastAsia" w:hAnsiTheme="minorEastAsia"/>
                <w:color w:val="auto"/>
                <w:sz w:val="24"/>
                <w:szCs w:val="24"/>
                <w:highlight w:val="none"/>
              </w:rPr>
            </w:pPr>
          </w:p>
        </w:tc>
        <w:tc>
          <w:tcPr>
            <w:tcW w:w="1661" w:type="dxa"/>
            <w:vAlign w:val="center"/>
          </w:tcPr>
          <w:p w14:paraId="59E7977C">
            <w:pPr>
              <w:spacing w:line="360" w:lineRule="auto"/>
              <w:jc w:val="center"/>
              <w:rPr>
                <w:rFonts w:asciiTheme="minorEastAsia" w:hAnsiTheme="minorEastAsia"/>
                <w:color w:val="auto"/>
                <w:sz w:val="24"/>
                <w:szCs w:val="24"/>
                <w:highlight w:val="none"/>
              </w:rPr>
            </w:pPr>
          </w:p>
        </w:tc>
        <w:tc>
          <w:tcPr>
            <w:tcW w:w="1661" w:type="dxa"/>
            <w:vAlign w:val="center"/>
          </w:tcPr>
          <w:p w14:paraId="68F965F9">
            <w:pPr>
              <w:spacing w:line="360" w:lineRule="auto"/>
              <w:jc w:val="center"/>
              <w:rPr>
                <w:rFonts w:asciiTheme="minorEastAsia" w:hAnsiTheme="minorEastAsia"/>
                <w:color w:val="auto"/>
                <w:sz w:val="24"/>
                <w:szCs w:val="24"/>
                <w:highlight w:val="none"/>
              </w:rPr>
            </w:pPr>
          </w:p>
        </w:tc>
        <w:tc>
          <w:tcPr>
            <w:tcW w:w="2188" w:type="dxa"/>
            <w:vAlign w:val="center"/>
          </w:tcPr>
          <w:p w14:paraId="30B30AD6">
            <w:pPr>
              <w:spacing w:line="360" w:lineRule="auto"/>
              <w:jc w:val="center"/>
              <w:rPr>
                <w:rFonts w:asciiTheme="minorEastAsia" w:hAnsiTheme="minorEastAsia"/>
                <w:color w:val="auto"/>
                <w:sz w:val="24"/>
                <w:szCs w:val="24"/>
                <w:highlight w:val="none"/>
              </w:rPr>
            </w:pPr>
          </w:p>
        </w:tc>
      </w:tr>
    </w:tbl>
    <w:p w14:paraId="3161EB9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※注意：</w:t>
      </w:r>
    </w:p>
    <w:p w14:paraId="498BA7BF">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1、本表应按照下列规定填写：</w:t>
      </w:r>
    </w:p>
    <w:p w14:paraId="5B1B6973">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1.1“商务条件”项下填写的内容应与招标文件第五章“商务条件”的内容保持一致。</w:t>
      </w:r>
    </w:p>
    <w:p w14:paraId="057CC40E">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1.2“投标响应”项下应填写具体的响应内容并与“商务条件”项下填写的内容逐项对应；对“商务条件”项下涉及“≥或＞”、“≤或＜”及某个区间值范围内的内容，应填写具体的数值。</w:t>
      </w:r>
    </w:p>
    <w:p w14:paraId="288BA010">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1.3“是否偏离及说明”项下应按下列规定填写：优于的，填写“正偏离”；符合的，填写“无偏离”；低于的，填写“负偏离”。</w:t>
      </w:r>
    </w:p>
    <w:p w14:paraId="3FF8CF17">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412C6FBB">
      <w:pPr>
        <w:pStyle w:val="54"/>
        <w:spacing w:line="360" w:lineRule="auto"/>
        <w:ind w:firstLine="480" w:firstLineChars="200"/>
        <w:jc w:val="right"/>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投标人：</w:t>
      </w:r>
      <w:r>
        <w:rPr>
          <w:rFonts w:asciiTheme="minorEastAsia" w:hAnsiTheme="minorEastAsia"/>
          <w:color w:val="auto"/>
          <w:sz w:val="24"/>
          <w:szCs w:val="24"/>
          <w:highlight w:val="none"/>
          <w:u w:val="single"/>
        </w:rPr>
        <w:t>（全称并加盖单位公章）</w:t>
      </w:r>
    </w:p>
    <w:p w14:paraId="42DB3589">
      <w:pPr>
        <w:pStyle w:val="54"/>
        <w:spacing w:line="360" w:lineRule="auto"/>
        <w:ind w:firstLine="480" w:firstLineChars="200"/>
        <w:jc w:val="right"/>
        <w:rPr>
          <w:rFonts w:hint="default" w:asciiTheme="minorEastAsia" w:hAnsiTheme="minorEastAsia"/>
          <w:color w:val="auto"/>
          <w:sz w:val="24"/>
          <w:szCs w:val="24"/>
          <w:highlight w:val="none"/>
          <w:u w:val="single"/>
        </w:rPr>
      </w:pPr>
      <w:r>
        <w:rPr>
          <w:rFonts w:asciiTheme="minorEastAsia" w:hAnsiTheme="minorEastAsia"/>
          <w:color w:val="auto"/>
          <w:sz w:val="24"/>
          <w:szCs w:val="24"/>
          <w:highlight w:val="none"/>
        </w:rPr>
        <w:t>日期：</w:t>
      </w:r>
      <w:r>
        <w:rPr>
          <w:rFonts w:asciiTheme="minorEastAsia" w:hAnsiTheme="minorEastAsia"/>
          <w:color w:val="auto"/>
          <w:sz w:val="24"/>
          <w:szCs w:val="24"/>
          <w:highlight w:val="none"/>
          <w:u w:val="single"/>
        </w:rPr>
        <w:t>　　年　　月　　日</w:t>
      </w:r>
    </w:p>
    <w:p w14:paraId="64094E1E">
      <w:pPr>
        <w:rPr>
          <w:color w:val="auto"/>
          <w:highlight w:val="none"/>
        </w:rPr>
      </w:pPr>
    </w:p>
    <w:p w14:paraId="779FE379">
      <w:pPr>
        <w:rPr>
          <w:color w:val="auto"/>
          <w:highlight w:val="none"/>
        </w:rPr>
        <w:sectPr>
          <w:pgSz w:w="11906" w:h="16838"/>
          <w:pgMar w:top="1418" w:right="1418" w:bottom="1418" w:left="1418" w:header="851" w:footer="992" w:gutter="0"/>
          <w:cols w:space="425" w:num="1"/>
          <w:docGrid w:type="lines" w:linePitch="312" w:charSpace="0"/>
        </w:sectPr>
      </w:pPr>
    </w:p>
    <w:p w14:paraId="33051159">
      <w:pPr>
        <w:spacing w:beforeLines="50" w:afterLines="50"/>
        <w:jc w:val="center"/>
        <w:rPr>
          <w:rFonts w:asciiTheme="minorEastAsia" w:hAnsiTheme="minorEastAsia"/>
          <w:b/>
          <w:color w:val="auto"/>
          <w:sz w:val="28"/>
          <w:szCs w:val="28"/>
          <w:highlight w:val="none"/>
        </w:rPr>
      </w:pPr>
      <w:r>
        <w:rPr>
          <w:rFonts w:asciiTheme="minorEastAsia" w:hAnsiTheme="minorEastAsia"/>
          <w:b/>
          <w:color w:val="auto"/>
          <w:sz w:val="28"/>
          <w:szCs w:val="28"/>
          <w:highlight w:val="none"/>
        </w:rPr>
        <w:t>四、投标人提交的其他资料（若有）</w:t>
      </w:r>
    </w:p>
    <w:p w14:paraId="0959A112">
      <w:pPr>
        <w:pStyle w:val="54"/>
        <w:spacing w:line="360" w:lineRule="auto"/>
        <w:jc w:val="center"/>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编制说明</w:t>
      </w:r>
    </w:p>
    <w:p w14:paraId="7773A37C">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1、招标文件要求提交的除“资格及资信证明部分”、“报价部分”外的其他证明材料或资料加盖投标人的单位公章后应在此项下提交。</w:t>
      </w:r>
    </w:p>
    <w:p w14:paraId="163A0669">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2、招标文件要求投标人提供方案（包括但不限于：组织、实施、技术、服务方案等）的，投标人应在此项下提交。</w:t>
      </w:r>
    </w:p>
    <w:p w14:paraId="1949128A">
      <w:pPr>
        <w:pStyle w:val="54"/>
        <w:spacing w:line="360" w:lineRule="auto"/>
        <w:ind w:firstLine="480" w:firstLineChars="200"/>
        <w:rPr>
          <w:rFonts w:hint="default" w:asciiTheme="minorEastAsia" w:hAnsiTheme="minorEastAsia"/>
          <w:color w:val="auto"/>
          <w:sz w:val="24"/>
          <w:szCs w:val="24"/>
          <w:highlight w:val="none"/>
        </w:rPr>
      </w:pPr>
      <w:r>
        <w:rPr>
          <w:rFonts w:asciiTheme="minorEastAsia" w:hAnsiTheme="minorEastAsia"/>
          <w:color w:val="auto"/>
          <w:sz w:val="24"/>
          <w:szCs w:val="24"/>
          <w:highlight w:val="none"/>
        </w:rPr>
        <w:t>3、除招标文件另有规定外，投标人认为需要提交的其他证明材料或资料加盖投标人的单位公章后应在此项下提交。</w:t>
      </w:r>
    </w:p>
    <w:p w14:paraId="7DC32848">
      <w:pPr>
        <w:rPr>
          <w:color w:val="auto"/>
          <w:highlight w:val="none"/>
        </w:rPr>
      </w:pPr>
    </w:p>
    <w:p w14:paraId="3D572C11">
      <w:pPr>
        <w:rPr>
          <w:color w:val="auto"/>
          <w:highlight w:val="none"/>
        </w:rPr>
      </w:pPr>
    </w:p>
    <w:p w14:paraId="286788F8">
      <w:pPr>
        <w:rPr>
          <w:color w:val="auto"/>
          <w:highlight w:val="none"/>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35799">
    <w:pPr>
      <w:pStyle w:val="11"/>
      <w:pBdr>
        <w:top w:val="single" w:color="auto" w:sz="4" w:space="1"/>
      </w:pBdr>
      <w:ind w:right="-1"/>
      <w:jc w:val="center"/>
      <w:rPr>
        <w:rFonts w:ascii="宋体" w:hAnsi="宋体"/>
        <w:sz w:val="24"/>
      </w:rPr>
    </w:pPr>
    <w:r>
      <w:rPr>
        <w:rFonts w:hint="eastAsia" w:ascii="宋体" w:hAnsi="宋体"/>
        <w:sz w:val="24"/>
      </w:rPr>
      <w:t>【</w:t>
    </w:r>
    <w:r>
      <w:rPr>
        <w:rFonts w:ascii="宋体" w:hAnsi="宋体"/>
        <w:sz w:val="24"/>
      </w:rPr>
      <w:t>第</w:t>
    </w:r>
    <w:r>
      <w:rPr>
        <w:rFonts w:hint="eastAsia" w:ascii="宋体" w:hAnsi="宋体"/>
        <w:sz w:val="24"/>
      </w:rPr>
      <w:t xml:space="preserve"> </w:t>
    </w: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41</w:t>
    </w:r>
    <w:r>
      <w:rPr>
        <w:rFonts w:ascii="宋体" w:hAnsi="宋体"/>
        <w:sz w:val="24"/>
      </w:rPr>
      <w:fldChar w:fldCharType="end"/>
    </w:r>
    <w:r>
      <w:rPr>
        <w:rFonts w:hint="eastAsia" w:ascii="宋体" w:hAnsi="宋体"/>
        <w:sz w:val="24"/>
      </w:rPr>
      <w:t xml:space="preserve"> 页，共 </w:t>
    </w:r>
    <w:r>
      <w:fldChar w:fldCharType="begin"/>
    </w:r>
    <w:r>
      <w:instrText xml:space="preserve"> NUMPAGES   \* MERGEFORMAT </w:instrText>
    </w:r>
    <w:r>
      <w:fldChar w:fldCharType="separate"/>
    </w:r>
    <w:r>
      <w:rPr>
        <w:rFonts w:ascii="宋体" w:hAnsi="宋体"/>
        <w:sz w:val="24"/>
      </w:rPr>
      <w:t>109</w:t>
    </w:r>
    <w:r>
      <w:rPr>
        <w:rFonts w:ascii="宋体" w:hAnsi="宋体"/>
        <w:sz w:val="24"/>
      </w:rPr>
      <w:fldChar w:fldCharType="end"/>
    </w:r>
    <w:r>
      <w:rPr>
        <w:rFonts w:hint="eastAsia" w:ascii="宋体" w:hAnsi="宋体"/>
        <w:sz w:val="24"/>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D652E">
    <w:pPr>
      <w:pBdr>
        <w:top w:val="single" w:color="auto" w:sz="4" w:space="1"/>
      </w:pBdr>
      <w:tabs>
        <w:tab w:val="center" w:pos="4153"/>
        <w:tab w:val="right" w:pos="8306"/>
      </w:tabs>
      <w:snapToGrid w:val="0"/>
      <w:ind w:right="-1"/>
      <w:jc w:val="center"/>
      <w:rPr>
        <w:rFonts w:ascii="宋体" w:hAnsi="宋体"/>
        <w:sz w:val="24"/>
        <w:szCs w:val="18"/>
      </w:rPr>
    </w:pPr>
    <w:r>
      <w:rPr>
        <w:rFonts w:hint="eastAsia" w:ascii="宋体" w:hAnsi="宋体"/>
        <w:sz w:val="24"/>
        <w:szCs w:val="18"/>
      </w:rPr>
      <w:t xml:space="preserve">【第 </w:t>
    </w:r>
    <w:r>
      <w:rPr>
        <w:rFonts w:ascii="宋体" w:hAnsi="宋体"/>
        <w:sz w:val="24"/>
        <w:szCs w:val="18"/>
      </w:rPr>
      <w:fldChar w:fldCharType="begin"/>
    </w:r>
    <w:r>
      <w:rPr>
        <w:rFonts w:ascii="宋体" w:hAnsi="宋体"/>
        <w:sz w:val="24"/>
        <w:szCs w:val="18"/>
      </w:rPr>
      <w:instrText xml:space="preserve"> PAGE   \* MERGEFORMAT </w:instrText>
    </w:r>
    <w:r>
      <w:rPr>
        <w:rFonts w:ascii="宋体" w:hAnsi="宋体"/>
        <w:sz w:val="24"/>
        <w:szCs w:val="18"/>
      </w:rPr>
      <w:fldChar w:fldCharType="separate"/>
    </w:r>
    <w:r>
      <w:rPr>
        <w:rFonts w:ascii="宋体" w:hAnsi="宋体"/>
        <w:sz w:val="24"/>
        <w:szCs w:val="18"/>
        <w:lang w:val="zh-CN"/>
      </w:rPr>
      <w:t>48</w:t>
    </w:r>
    <w:r>
      <w:rPr>
        <w:rFonts w:ascii="宋体" w:hAnsi="宋体"/>
        <w:sz w:val="24"/>
        <w:szCs w:val="18"/>
      </w:rPr>
      <w:fldChar w:fldCharType="end"/>
    </w:r>
    <w:r>
      <w:rPr>
        <w:rFonts w:hint="eastAsia" w:ascii="宋体" w:hAnsi="宋体"/>
        <w:sz w:val="24"/>
        <w:szCs w:val="18"/>
      </w:rPr>
      <w:t xml:space="preserve"> 页，共 </w:t>
    </w:r>
    <w:r>
      <w:fldChar w:fldCharType="begin"/>
    </w:r>
    <w:r>
      <w:instrText xml:space="preserve"> NUMPAGES   \* MERGEFORMAT </w:instrText>
    </w:r>
    <w:r>
      <w:fldChar w:fldCharType="separate"/>
    </w:r>
    <w:r>
      <w:rPr>
        <w:rFonts w:ascii="宋体" w:hAnsi="宋体"/>
        <w:sz w:val="24"/>
        <w:szCs w:val="18"/>
      </w:rPr>
      <w:t>110</w:t>
    </w:r>
    <w:r>
      <w:rPr>
        <w:rFonts w:ascii="宋体" w:hAnsi="宋体"/>
        <w:sz w:val="24"/>
        <w:szCs w:val="18"/>
      </w:rPr>
      <w:fldChar w:fldCharType="end"/>
    </w:r>
    <w:r>
      <w:rPr>
        <w:rFonts w:hint="eastAsia" w:ascii="宋体" w:hAnsi="宋体"/>
        <w:sz w:val="24"/>
        <w:szCs w:val="18"/>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8B570">
    <w:pPr>
      <w:pBdr>
        <w:top w:val="single" w:color="auto" w:sz="4" w:space="1"/>
      </w:pBdr>
      <w:tabs>
        <w:tab w:val="center" w:pos="4153"/>
        <w:tab w:val="right" w:pos="8306"/>
      </w:tabs>
      <w:snapToGrid w:val="0"/>
      <w:ind w:right="-1"/>
      <w:jc w:val="center"/>
      <w:rPr>
        <w:rFonts w:ascii="宋体" w:hAnsi="宋体"/>
        <w:sz w:val="24"/>
        <w:szCs w:val="18"/>
      </w:rPr>
    </w:pPr>
    <w:r>
      <w:rPr>
        <w:rFonts w:hint="eastAsia" w:ascii="宋体" w:hAnsi="宋体"/>
        <w:sz w:val="24"/>
        <w:szCs w:val="18"/>
      </w:rPr>
      <w:t>【</w:t>
    </w:r>
    <w:r>
      <w:rPr>
        <w:rFonts w:ascii="宋体" w:hAnsi="宋体"/>
        <w:sz w:val="24"/>
        <w:szCs w:val="18"/>
      </w:rPr>
      <w:t>第</w:t>
    </w:r>
    <w:r>
      <w:rPr>
        <w:rFonts w:ascii="宋体" w:hAnsi="宋体"/>
        <w:sz w:val="24"/>
        <w:szCs w:val="18"/>
      </w:rPr>
      <w:fldChar w:fldCharType="begin"/>
    </w:r>
    <w:r>
      <w:rPr>
        <w:rFonts w:ascii="宋体" w:hAnsi="宋体"/>
        <w:sz w:val="24"/>
        <w:szCs w:val="18"/>
      </w:rPr>
      <w:instrText xml:space="preserve"> PAGE   \* MERGEFORMAT </w:instrText>
    </w:r>
    <w:r>
      <w:rPr>
        <w:rFonts w:ascii="宋体" w:hAnsi="宋体"/>
        <w:sz w:val="24"/>
        <w:szCs w:val="18"/>
      </w:rPr>
      <w:fldChar w:fldCharType="separate"/>
    </w:r>
    <w:r>
      <w:rPr>
        <w:rFonts w:ascii="宋体" w:hAnsi="宋体"/>
        <w:sz w:val="24"/>
        <w:szCs w:val="18"/>
        <w:lang w:val="zh-CN"/>
      </w:rPr>
      <w:t>42</w:t>
    </w:r>
    <w:r>
      <w:rPr>
        <w:rFonts w:ascii="宋体" w:hAnsi="宋体"/>
        <w:sz w:val="24"/>
        <w:szCs w:val="18"/>
      </w:rPr>
      <w:fldChar w:fldCharType="end"/>
    </w:r>
    <w:r>
      <w:rPr>
        <w:rFonts w:hint="eastAsia" w:ascii="宋体" w:hAnsi="宋体"/>
        <w:sz w:val="24"/>
        <w:szCs w:val="18"/>
      </w:rPr>
      <w:t xml:space="preserve"> 页，共 </w:t>
    </w:r>
    <w:r>
      <w:fldChar w:fldCharType="begin"/>
    </w:r>
    <w:r>
      <w:instrText xml:space="preserve"> NUMPAGES   \* MERGEFORMAT </w:instrText>
    </w:r>
    <w:r>
      <w:fldChar w:fldCharType="separate"/>
    </w:r>
    <w:r>
      <w:rPr>
        <w:rFonts w:ascii="宋体" w:hAnsi="宋体"/>
        <w:sz w:val="24"/>
        <w:szCs w:val="18"/>
      </w:rPr>
      <w:t>109</w:t>
    </w:r>
    <w:r>
      <w:rPr>
        <w:rFonts w:ascii="宋体" w:hAnsi="宋体"/>
        <w:sz w:val="24"/>
        <w:szCs w:val="18"/>
      </w:rPr>
      <w:fldChar w:fldCharType="end"/>
    </w:r>
    <w:r>
      <w:rPr>
        <w:rFonts w:hint="eastAsia" w:ascii="宋体" w:hAnsi="宋体"/>
        <w:sz w:val="24"/>
        <w:szCs w:val="18"/>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177EE"/>
    <w:multiLevelType w:val="multilevel"/>
    <w:tmpl w:val="2B1177EE"/>
    <w:lvl w:ilvl="0" w:tentative="0">
      <w:start w:val="1"/>
      <w:numFmt w:val="decimal"/>
      <w:lvlText w:val="%1"/>
      <w:lvlJc w:val="left"/>
      <w:pPr>
        <w:ind w:left="425" w:hanging="425"/>
      </w:pPr>
    </w:lvl>
    <w:lvl w:ilvl="1" w:tentative="0">
      <w:start w:val="1"/>
      <w:numFmt w:val="decimal"/>
      <w:lvlText w:val="%1.%2"/>
      <w:lvlJc w:val="left"/>
      <w:pPr>
        <w:ind w:left="5246"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NzZmOTU4MzJkMDNjNjU1ZDkxNjE1OWY0YjI0OTcifQ=="/>
  </w:docVars>
  <w:rsids>
    <w:rsidRoot w:val="00C377A6"/>
    <w:rsid w:val="00000EB7"/>
    <w:rsid w:val="00007EAA"/>
    <w:rsid w:val="00010A69"/>
    <w:rsid w:val="00011089"/>
    <w:rsid w:val="00014914"/>
    <w:rsid w:val="00015FDA"/>
    <w:rsid w:val="00017248"/>
    <w:rsid w:val="000179A6"/>
    <w:rsid w:val="00023562"/>
    <w:rsid w:val="0003084B"/>
    <w:rsid w:val="00030D6E"/>
    <w:rsid w:val="000315A6"/>
    <w:rsid w:val="000364C3"/>
    <w:rsid w:val="000413A1"/>
    <w:rsid w:val="000414DE"/>
    <w:rsid w:val="000427FA"/>
    <w:rsid w:val="00042BAD"/>
    <w:rsid w:val="00042C55"/>
    <w:rsid w:val="0004365E"/>
    <w:rsid w:val="000440E5"/>
    <w:rsid w:val="0004441F"/>
    <w:rsid w:val="000452B0"/>
    <w:rsid w:val="00045989"/>
    <w:rsid w:val="00045DE6"/>
    <w:rsid w:val="00047C7D"/>
    <w:rsid w:val="000527EB"/>
    <w:rsid w:val="00053367"/>
    <w:rsid w:val="00056AEA"/>
    <w:rsid w:val="000602CE"/>
    <w:rsid w:val="0006129C"/>
    <w:rsid w:val="00061623"/>
    <w:rsid w:val="00063D22"/>
    <w:rsid w:val="00064733"/>
    <w:rsid w:val="000654AF"/>
    <w:rsid w:val="0006564E"/>
    <w:rsid w:val="00065FA7"/>
    <w:rsid w:val="00067BBE"/>
    <w:rsid w:val="00067F26"/>
    <w:rsid w:val="000702E6"/>
    <w:rsid w:val="00073860"/>
    <w:rsid w:val="00074B74"/>
    <w:rsid w:val="0007535C"/>
    <w:rsid w:val="000763E1"/>
    <w:rsid w:val="00077094"/>
    <w:rsid w:val="00077690"/>
    <w:rsid w:val="00080524"/>
    <w:rsid w:val="000806DE"/>
    <w:rsid w:val="00081B37"/>
    <w:rsid w:val="000847DC"/>
    <w:rsid w:val="00085296"/>
    <w:rsid w:val="00085B84"/>
    <w:rsid w:val="000874BD"/>
    <w:rsid w:val="0009051C"/>
    <w:rsid w:val="00090724"/>
    <w:rsid w:val="00091646"/>
    <w:rsid w:val="00091EAD"/>
    <w:rsid w:val="0009397E"/>
    <w:rsid w:val="0009441A"/>
    <w:rsid w:val="0009610C"/>
    <w:rsid w:val="000A0ADD"/>
    <w:rsid w:val="000A11D6"/>
    <w:rsid w:val="000A48A9"/>
    <w:rsid w:val="000A55A2"/>
    <w:rsid w:val="000A5765"/>
    <w:rsid w:val="000B2B9A"/>
    <w:rsid w:val="000B4699"/>
    <w:rsid w:val="000B4C68"/>
    <w:rsid w:val="000B518F"/>
    <w:rsid w:val="000B5263"/>
    <w:rsid w:val="000B660F"/>
    <w:rsid w:val="000B67E3"/>
    <w:rsid w:val="000C1368"/>
    <w:rsid w:val="000C1704"/>
    <w:rsid w:val="000D009F"/>
    <w:rsid w:val="000D1041"/>
    <w:rsid w:val="000D1BCF"/>
    <w:rsid w:val="000D2697"/>
    <w:rsid w:val="000D2C05"/>
    <w:rsid w:val="000D3266"/>
    <w:rsid w:val="000D39C4"/>
    <w:rsid w:val="000D52A1"/>
    <w:rsid w:val="000D5604"/>
    <w:rsid w:val="000D5AE8"/>
    <w:rsid w:val="000E1F7E"/>
    <w:rsid w:val="000E7943"/>
    <w:rsid w:val="000F202C"/>
    <w:rsid w:val="000F69F7"/>
    <w:rsid w:val="000F6D4D"/>
    <w:rsid w:val="00101E7B"/>
    <w:rsid w:val="001029D4"/>
    <w:rsid w:val="00103A51"/>
    <w:rsid w:val="00104230"/>
    <w:rsid w:val="00104302"/>
    <w:rsid w:val="00105554"/>
    <w:rsid w:val="00110A52"/>
    <w:rsid w:val="00110FFE"/>
    <w:rsid w:val="00111AC6"/>
    <w:rsid w:val="00113431"/>
    <w:rsid w:val="00116940"/>
    <w:rsid w:val="001172F6"/>
    <w:rsid w:val="00117ED0"/>
    <w:rsid w:val="00120A3A"/>
    <w:rsid w:val="0012146C"/>
    <w:rsid w:val="00121846"/>
    <w:rsid w:val="00126BE6"/>
    <w:rsid w:val="0012724A"/>
    <w:rsid w:val="001275FF"/>
    <w:rsid w:val="001366CA"/>
    <w:rsid w:val="00140F13"/>
    <w:rsid w:val="00142BED"/>
    <w:rsid w:val="00143667"/>
    <w:rsid w:val="001507B7"/>
    <w:rsid w:val="00152B00"/>
    <w:rsid w:val="001532C3"/>
    <w:rsid w:val="00155E6E"/>
    <w:rsid w:val="001570CA"/>
    <w:rsid w:val="00157575"/>
    <w:rsid w:val="00161CBA"/>
    <w:rsid w:val="00166CC8"/>
    <w:rsid w:val="00166D97"/>
    <w:rsid w:val="00170E34"/>
    <w:rsid w:val="00170E42"/>
    <w:rsid w:val="0017118D"/>
    <w:rsid w:val="0017303F"/>
    <w:rsid w:val="00173B94"/>
    <w:rsid w:val="00174F71"/>
    <w:rsid w:val="001754E5"/>
    <w:rsid w:val="001761B6"/>
    <w:rsid w:val="00177269"/>
    <w:rsid w:val="00177A46"/>
    <w:rsid w:val="00177D07"/>
    <w:rsid w:val="00183A0C"/>
    <w:rsid w:val="00183BA3"/>
    <w:rsid w:val="00185564"/>
    <w:rsid w:val="00185721"/>
    <w:rsid w:val="00186F97"/>
    <w:rsid w:val="00190545"/>
    <w:rsid w:val="00190BDF"/>
    <w:rsid w:val="00191DAD"/>
    <w:rsid w:val="001944B2"/>
    <w:rsid w:val="001969A6"/>
    <w:rsid w:val="00196B6A"/>
    <w:rsid w:val="001A0371"/>
    <w:rsid w:val="001A0E82"/>
    <w:rsid w:val="001A0FFC"/>
    <w:rsid w:val="001A185D"/>
    <w:rsid w:val="001A26B3"/>
    <w:rsid w:val="001A3E78"/>
    <w:rsid w:val="001A54F3"/>
    <w:rsid w:val="001A5D0A"/>
    <w:rsid w:val="001A7926"/>
    <w:rsid w:val="001A7B64"/>
    <w:rsid w:val="001A7D91"/>
    <w:rsid w:val="001B00ED"/>
    <w:rsid w:val="001B0241"/>
    <w:rsid w:val="001B02EB"/>
    <w:rsid w:val="001B0366"/>
    <w:rsid w:val="001B1874"/>
    <w:rsid w:val="001B26A2"/>
    <w:rsid w:val="001B4441"/>
    <w:rsid w:val="001B54DA"/>
    <w:rsid w:val="001B5879"/>
    <w:rsid w:val="001B5AA5"/>
    <w:rsid w:val="001B72B2"/>
    <w:rsid w:val="001B78EA"/>
    <w:rsid w:val="001C7012"/>
    <w:rsid w:val="001C773D"/>
    <w:rsid w:val="001C7D76"/>
    <w:rsid w:val="001D0468"/>
    <w:rsid w:val="001D053B"/>
    <w:rsid w:val="001D1FC2"/>
    <w:rsid w:val="001D4A89"/>
    <w:rsid w:val="001D4AD2"/>
    <w:rsid w:val="001D4AF7"/>
    <w:rsid w:val="001D5E01"/>
    <w:rsid w:val="001D7BA8"/>
    <w:rsid w:val="001E02C7"/>
    <w:rsid w:val="001E031E"/>
    <w:rsid w:val="001E084F"/>
    <w:rsid w:val="001E11F0"/>
    <w:rsid w:val="001E12E2"/>
    <w:rsid w:val="001E16E8"/>
    <w:rsid w:val="001E3F02"/>
    <w:rsid w:val="001E4650"/>
    <w:rsid w:val="001E572B"/>
    <w:rsid w:val="001E64B9"/>
    <w:rsid w:val="001E73AB"/>
    <w:rsid w:val="001E744C"/>
    <w:rsid w:val="001E7F42"/>
    <w:rsid w:val="001F2728"/>
    <w:rsid w:val="001F2E0B"/>
    <w:rsid w:val="001F4AE4"/>
    <w:rsid w:val="001F4B44"/>
    <w:rsid w:val="001F5002"/>
    <w:rsid w:val="001F7D56"/>
    <w:rsid w:val="00201AFF"/>
    <w:rsid w:val="0020604E"/>
    <w:rsid w:val="002073B8"/>
    <w:rsid w:val="002100C5"/>
    <w:rsid w:val="00214808"/>
    <w:rsid w:val="00214BAD"/>
    <w:rsid w:val="002176BF"/>
    <w:rsid w:val="0022018F"/>
    <w:rsid w:val="00220430"/>
    <w:rsid w:val="002230F0"/>
    <w:rsid w:val="00223DA8"/>
    <w:rsid w:val="00224BCD"/>
    <w:rsid w:val="00225178"/>
    <w:rsid w:val="00225192"/>
    <w:rsid w:val="00226B0A"/>
    <w:rsid w:val="00226FEE"/>
    <w:rsid w:val="00230CB4"/>
    <w:rsid w:val="0023573F"/>
    <w:rsid w:val="00235EB4"/>
    <w:rsid w:val="00237DE6"/>
    <w:rsid w:val="002403C6"/>
    <w:rsid w:val="002405B8"/>
    <w:rsid w:val="00240DBC"/>
    <w:rsid w:val="002411C7"/>
    <w:rsid w:val="00244529"/>
    <w:rsid w:val="00247492"/>
    <w:rsid w:val="002507AE"/>
    <w:rsid w:val="00251042"/>
    <w:rsid w:val="00251773"/>
    <w:rsid w:val="00252191"/>
    <w:rsid w:val="00252DC7"/>
    <w:rsid w:val="00255700"/>
    <w:rsid w:val="002634CD"/>
    <w:rsid w:val="00263C57"/>
    <w:rsid w:val="00264D07"/>
    <w:rsid w:val="00265883"/>
    <w:rsid w:val="00266B5E"/>
    <w:rsid w:val="0027417C"/>
    <w:rsid w:val="002742F0"/>
    <w:rsid w:val="0027626D"/>
    <w:rsid w:val="00277161"/>
    <w:rsid w:val="002779CB"/>
    <w:rsid w:val="00280763"/>
    <w:rsid w:val="00283DDB"/>
    <w:rsid w:val="00283EC7"/>
    <w:rsid w:val="0028674D"/>
    <w:rsid w:val="0029008A"/>
    <w:rsid w:val="00291F2D"/>
    <w:rsid w:val="00292018"/>
    <w:rsid w:val="00293239"/>
    <w:rsid w:val="00297900"/>
    <w:rsid w:val="002A0F68"/>
    <w:rsid w:val="002A2792"/>
    <w:rsid w:val="002A2A10"/>
    <w:rsid w:val="002A4F5E"/>
    <w:rsid w:val="002A56C1"/>
    <w:rsid w:val="002A6A3B"/>
    <w:rsid w:val="002B00D6"/>
    <w:rsid w:val="002B1D56"/>
    <w:rsid w:val="002B32E8"/>
    <w:rsid w:val="002B38AF"/>
    <w:rsid w:val="002B53E1"/>
    <w:rsid w:val="002B5FE5"/>
    <w:rsid w:val="002C0A7E"/>
    <w:rsid w:val="002C0BDF"/>
    <w:rsid w:val="002C16BA"/>
    <w:rsid w:val="002C1993"/>
    <w:rsid w:val="002C1A77"/>
    <w:rsid w:val="002C5CCE"/>
    <w:rsid w:val="002D0600"/>
    <w:rsid w:val="002D5D80"/>
    <w:rsid w:val="002E0021"/>
    <w:rsid w:val="002E41B4"/>
    <w:rsid w:val="002E431A"/>
    <w:rsid w:val="002E75D8"/>
    <w:rsid w:val="002E75E1"/>
    <w:rsid w:val="002F0619"/>
    <w:rsid w:val="002F1CE7"/>
    <w:rsid w:val="002F303E"/>
    <w:rsid w:val="002F583E"/>
    <w:rsid w:val="002F6E0F"/>
    <w:rsid w:val="0030183E"/>
    <w:rsid w:val="00303937"/>
    <w:rsid w:val="00303AA7"/>
    <w:rsid w:val="0030516C"/>
    <w:rsid w:val="003108CA"/>
    <w:rsid w:val="00312742"/>
    <w:rsid w:val="00314B4C"/>
    <w:rsid w:val="00315A1F"/>
    <w:rsid w:val="00317B8B"/>
    <w:rsid w:val="00320700"/>
    <w:rsid w:val="00321934"/>
    <w:rsid w:val="00322186"/>
    <w:rsid w:val="00322545"/>
    <w:rsid w:val="00323339"/>
    <w:rsid w:val="00324068"/>
    <w:rsid w:val="003254B7"/>
    <w:rsid w:val="00325A10"/>
    <w:rsid w:val="00326308"/>
    <w:rsid w:val="00332DB9"/>
    <w:rsid w:val="0033497F"/>
    <w:rsid w:val="00335DB5"/>
    <w:rsid w:val="00335F72"/>
    <w:rsid w:val="0033732B"/>
    <w:rsid w:val="003374D2"/>
    <w:rsid w:val="00337753"/>
    <w:rsid w:val="00337CFE"/>
    <w:rsid w:val="003425F3"/>
    <w:rsid w:val="00346752"/>
    <w:rsid w:val="003473A0"/>
    <w:rsid w:val="00347BEC"/>
    <w:rsid w:val="00350678"/>
    <w:rsid w:val="00350E87"/>
    <w:rsid w:val="00350FB7"/>
    <w:rsid w:val="00352533"/>
    <w:rsid w:val="00352DEF"/>
    <w:rsid w:val="00355656"/>
    <w:rsid w:val="0035742F"/>
    <w:rsid w:val="00362BA5"/>
    <w:rsid w:val="003653F3"/>
    <w:rsid w:val="00366786"/>
    <w:rsid w:val="00370F2E"/>
    <w:rsid w:val="0037424B"/>
    <w:rsid w:val="00375FA4"/>
    <w:rsid w:val="00381372"/>
    <w:rsid w:val="00381C3C"/>
    <w:rsid w:val="00385AE6"/>
    <w:rsid w:val="003864A5"/>
    <w:rsid w:val="00387647"/>
    <w:rsid w:val="00387CEE"/>
    <w:rsid w:val="00397AC7"/>
    <w:rsid w:val="003A06BD"/>
    <w:rsid w:val="003A0E8B"/>
    <w:rsid w:val="003A2BF5"/>
    <w:rsid w:val="003A4168"/>
    <w:rsid w:val="003B2ADF"/>
    <w:rsid w:val="003B2F7A"/>
    <w:rsid w:val="003B6D97"/>
    <w:rsid w:val="003B6E05"/>
    <w:rsid w:val="003B78F6"/>
    <w:rsid w:val="003C042E"/>
    <w:rsid w:val="003C51EB"/>
    <w:rsid w:val="003C6121"/>
    <w:rsid w:val="003C66E4"/>
    <w:rsid w:val="003C7873"/>
    <w:rsid w:val="003D101F"/>
    <w:rsid w:val="003D255E"/>
    <w:rsid w:val="003D5286"/>
    <w:rsid w:val="003E00EF"/>
    <w:rsid w:val="003E0F35"/>
    <w:rsid w:val="003E1B58"/>
    <w:rsid w:val="003E29D1"/>
    <w:rsid w:val="003E37FC"/>
    <w:rsid w:val="003E786F"/>
    <w:rsid w:val="003F18E7"/>
    <w:rsid w:val="003F1E08"/>
    <w:rsid w:val="003F1E76"/>
    <w:rsid w:val="003F4D22"/>
    <w:rsid w:val="003F4F0B"/>
    <w:rsid w:val="003F4FCB"/>
    <w:rsid w:val="003F6FAD"/>
    <w:rsid w:val="00403253"/>
    <w:rsid w:val="004035E3"/>
    <w:rsid w:val="004045A6"/>
    <w:rsid w:val="00404A5C"/>
    <w:rsid w:val="00404B37"/>
    <w:rsid w:val="00404D3C"/>
    <w:rsid w:val="004066EF"/>
    <w:rsid w:val="00406906"/>
    <w:rsid w:val="00410EB2"/>
    <w:rsid w:val="00411288"/>
    <w:rsid w:val="00413987"/>
    <w:rsid w:val="00414E03"/>
    <w:rsid w:val="004168B6"/>
    <w:rsid w:val="0042201F"/>
    <w:rsid w:val="004234D2"/>
    <w:rsid w:val="00426203"/>
    <w:rsid w:val="00430713"/>
    <w:rsid w:val="00431350"/>
    <w:rsid w:val="00435169"/>
    <w:rsid w:val="004351AA"/>
    <w:rsid w:val="00436A0E"/>
    <w:rsid w:val="004404B8"/>
    <w:rsid w:val="0044165F"/>
    <w:rsid w:val="00442FB2"/>
    <w:rsid w:val="004437B8"/>
    <w:rsid w:val="00453736"/>
    <w:rsid w:val="004548BE"/>
    <w:rsid w:val="004566C6"/>
    <w:rsid w:val="00456E70"/>
    <w:rsid w:val="00461D53"/>
    <w:rsid w:val="00461FEF"/>
    <w:rsid w:val="004624F3"/>
    <w:rsid w:val="00463974"/>
    <w:rsid w:val="00464654"/>
    <w:rsid w:val="00466118"/>
    <w:rsid w:val="00467246"/>
    <w:rsid w:val="00467C99"/>
    <w:rsid w:val="00472878"/>
    <w:rsid w:val="004733A6"/>
    <w:rsid w:val="0047451C"/>
    <w:rsid w:val="00474C24"/>
    <w:rsid w:val="004765B4"/>
    <w:rsid w:val="004775FD"/>
    <w:rsid w:val="00480F56"/>
    <w:rsid w:val="00481A28"/>
    <w:rsid w:val="00482190"/>
    <w:rsid w:val="004836EE"/>
    <w:rsid w:val="00484D04"/>
    <w:rsid w:val="004855C1"/>
    <w:rsid w:val="004862EF"/>
    <w:rsid w:val="00490ACC"/>
    <w:rsid w:val="004913DC"/>
    <w:rsid w:val="004914E2"/>
    <w:rsid w:val="0049472B"/>
    <w:rsid w:val="00494DC2"/>
    <w:rsid w:val="00496BBA"/>
    <w:rsid w:val="004976A8"/>
    <w:rsid w:val="004A25CF"/>
    <w:rsid w:val="004A3497"/>
    <w:rsid w:val="004A6AB8"/>
    <w:rsid w:val="004B01AD"/>
    <w:rsid w:val="004B150B"/>
    <w:rsid w:val="004B3435"/>
    <w:rsid w:val="004B5468"/>
    <w:rsid w:val="004B6D62"/>
    <w:rsid w:val="004B771E"/>
    <w:rsid w:val="004C1CC7"/>
    <w:rsid w:val="004C3A90"/>
    <w:rsid w:val="004C71F1"/>
    <w:rsid w:val="004C7F9C"/>
    <w:rsid w:val="004D0AEF"/>
    <w:rsid w:val="004D20EB"/>
    <w:rsid w:val="004D50B7"/>
    <w:rsid w:val="004E2328"/>
    <w:rsid w:val="004E2617"/>
    <w:rsid w:val="004E2E77"/>
    <w:rsid w:val="004E5994"/>
    <w:rsid w:val="004F0C55"/>
    <w:rsid w:val="004F4941"/>
    <w:rsid w:val="004F5E98"/>
    <w:rsid w:val="005002C3"/>
    <w:rsid w:val="00501FF9"/>
    <w:rsid w:val="005034FC"/>
    <w:rsid w:val="00503814"/>
    <w:rsid w:val="005049A5"/>
    <w:rsid w:val="00504A56"/>
    <w:rsid w:val="005060BE"/>
    <w:rsid w:val="00510036"/>
    <w:rsid w:val="0051113C"/>
    <w:rsid w:val="00512FEF"/>
    <w:rsid w:val="005140FD"/>
    <w:rsid w:val="00515272"/>
    <w:rsid w:val="00515D38"/>
    <w:rsid w:val="00515FD8"/>
    <w:rsid w:val="0051676B"/>
    <w:rsid w:val="00516ED8"/>
    <w:rsid w:val="005213CC"/>
    <w:rsid w:val="005244FD"/>
    <w:rsid w:val="00527656"/>
    <w:rsid w:val="0052799D"/>
    <w:rsid w:val="005301F5"/>
    <w:rsid w:val="00531074"/>
    <w:rsid w:val="005318FE"/>
    <w:rsid w:val="00532D16"/>
    <w:rsid w:val="00540F2C"/>
    <w:rsid w:val="005426EB"/>
    <w:rsid w:val="005434B2"/>
    <w:rsid w:val="005457BD"/>
    <w:rsid w:val="005463EF"/>
    <w:rsid w:val="005475CF"/>
    <w:rsid w:val="00555349"/>
    <w:rsid w:val="005555A2"/>
    <w:rsid w:val="00555B71"/>
    <w:rsid w:val="00557EE7"/>
    <w:rsid w:val="00560993"/>
    <w:rsid w:val="00560BD8"/>
    <w:rsid w:val="0056185F"/>
    <w:rsid w:val="0056193A"/>
    <w:rsid w:val="00561F7B"/>
    <w:rsid w:val="00565747"/>
    <w:rsid w:val="00567B43"/>
    <w:rsid w:val="00570030"/>
    <w:rsid w:val="00573F4D"/>
    <w:rsid w:val="00574179"/>
    <w:rsid w:val="0057647C"/>
    <w:rsid w:val="005764CF"/>
    <w:rsid w:val="00584504"/>
    <w:rsid w:val="005870C0"/>
    <w:rsid w:val="005874EC"/>
    <w:rsid w:val="00591EA6"/>
    <w:rsid w:val="00592389"/>
    <w:rsid w:val="00592558"/>
    <w:rsid w:val="0059331B"/>
    <w:rsid w:val="00593B80"/>
    <w:rsid w:val="00593F14"/>
    <w:rsid w:val="00595351"/>
    <w:rsid w:val="00595796"/>
    <w:rsid w:val="00596098"/>
    <w:rsid w:val="005A0586"/>
    <w:rsid w:val="005A51E7"/>
    <w:rsid w:val="005A6869"/>
    <w:rsid w:val="005A6D7E"/>
    <w:rsid w:val="005B407E"/>
    <w:rsid w:val="005B7762"/>
    <w:rsid w:val="005B7C08"/>
    <w:rsid w:val="005C2A55"/>
    <w:rsid w:val="005C388D"/>
    <w:rsid w:val="005C4D41"/>
    <w:rsid w:val="005C5031"/>
    <w:rsid w:val="005D1F64"/>
    <w:rsid w:val="005D2A56"/>
    <w:rsid w:val="005D4389"/>
    <w:rsid w:val="005D58B5"/>
    <w:rsid w:val="005D602B"/>
    <w:rsid w:val="005D62C7"/>
    <w:rsid w:val="005E0303"/>
    <w:rsid w:val="005E4950"/>
    <w:rsid w:val="005E5C2C"/>
    <w:rsid w:val="005E65E1"/>
    <w:rsid w:val="005E77BC"/>
    <w:rsid w:val="005F4C40"/>
    <w:rsid w:val="00600596"/>
    <w:rsid w:val="0060194F"/>
    <w:rsid w:val="006019E9"/>
    <w:rsid w:val="00602072"/>
    <w:rsid w:val="006064A1"/>
    <w:rsid w:val="00610A62"/>
    <w:rsid w:val="00612438"/>
    <w:rsid w:val="006140F3"/>
    <w:rsid w:val="006145FE"/>
    <w:rsid w:val="00614DFA"/>
    <w:rsid w:val="00616D4D"/>
    <w:rsid w:val="00617433"/>
    <w:rsid w:val="0062091D"/>
    <w:rsid w:val="00625609"/>
    <w:rsid w:val="006265E9"/>
    <w:rsid w:val="006267EA"/>
    <w:rsid w:val="00630033"/>
    <w:rsid w:val="00631B8B"/>
    <w:rsid w:val="00631BB9"/>
    <w:rsid w:val="00631BCE"/>
    <w:rsid w:val="00631C25"/>
    <w:rsid w:val="00632EFC"/>
    <w:rsid w:val="006332A3"/>
    <w:rsid w:val="00633739"/>
    <w:rsid w:val="00634B89"/>
    <w:rsid w:val="006375CA"/>
    <w:rsid w:val="0064156B"/>
    <w:rsid w:val="00644715"/>
    <w:rsid w:val="00646A86"/>
    <w:rsid w:val="00647590"/>
    <w:rsid w:val="00647797"/>
    <w:rsid w:val="00647D13"/>
    <w:rsid w:val="00651A3D"/>
    <w:rsid w:val="006524AC"/>
    <w:rsid w:val="00652698"/>
    <w:rsid w:val="0065316D"/>
    <w:rsid w:val="006539FA"/>
    <w:rsid w:val="006559BC"/>
    <w:rsid w:val="006559CC"/>
    <w:rsid w:val="00655AB9"/>
    <w:rsid w:val="00655C37"/>
    <w:rsid w:val="006577D6"/>
    <w:rsid w:val="00657A46"/>
    <w:rsid w:val="00660389"/>
    <w:rsid w:val="00661C41"/>
    <w:rsid w:val="006637A4"/>
    <w:rsid w:val="006653EC"/>
    <w:rsid w:val="00666452"/>
    <w:rsid w:val="00666DFC"/>
    <w:rsid w:val="00670ADD"/>
    <w:rsid w:val="00671AEE"/>
    <w:rsid w:val="00671E07"/>
    <w:rsid w:val="006725B1"/>
    <w:rsid w:val="0067297A"/>
    <w:rsid w:val="00675A6D"/>
    <w:rsid w:val="00675F1F"/>
    <w:rsid w:val="006808A3"/>
    <w:rsid w:val="0068242C"/>
    <w:rsid w:val="006845A8"/>
    <w:rsid w:val="00684E30"/>
    <w:rsid w:val="00687853"/>
    <w:rsid w:val="00690130"/>
    <w:rsid w:val="0069088F"/>
    <w:rsid w:val="00692BC0"/>
    <w:rsid w:val="00692C82"/>
    <w:rsid w:val="006941E3"/>
    <w:rsid w:val="00697125"/>
    <w:rsid w:val="006976BC"/>
    <w:rsid w:val="006A42FC"/>
    <w:rsid w:val="006A45E2"/>
    <w:rsid w:val="006A49CD"/>
    <w:rsid w:val="006A5070"/>
    <w:rsid w:val="006A746C"/>
    <w:rsid w:val="006A753B"/>
    <w:rsid w:val="006B08EF"/>
    <w:rsid w:val="006B2A04"/>
    <w:rsid w:val="006B413E"/>
    <w:rsid w:val="006B458D"/>
    <w:rsid w:val="006B47E5"/>
    <w:rsid w:val="006B5083"/>
    <w:rsid w:val="006C0262"/>
    <w:rsid w:val="006C09A7"/>
    <w:rsid w:val="006C0B1C"/>
    <w:rsid w:val="006C0EA5"/>
    <w:rsid w:val="006C19D3"/>
    <w:rsid w:val="006C2279"/>
    <w:rsid w:val="006C5861"/>
    <w:rsid w:val="006C7922"/>
    <w:rsid w:val="006C7A5E"/>
    <w:rsid w:val="006C7A8C"/>
    <w:rsid w:val="006D1E53"/>
    <w:rsid w:val="006D3EA1"/>
    <w:rsid w:val="006D53BE"/>
    <w:rsid w:val="006D542E"/>
    <w:rsid w:val="006D56AC"/>
    <w:rsid w:val="006D5A28"/>
    <w:rsid w:val="006D60FA"/>
    <w:rsid w:val="006E01E3"/>
    <w:rsid w:val="006E27B7"/>
    <w:rsid w:val="006E4BA2"/>
    <w:rsid w:val="006E553A"/>
    <w:rsid w:val="006E5716"/>
    <w:rsid w:val="006E5A81"/>
    <w:rsid w:val="006E692E"/>
    <w:rsid w:val="006E75A3"/>
    <w:rsid w:val="006F1A40"/>
    <w:rsid w:val="006F20BE"/>
    <w:rsid w:val="006F3933"/>
    <w:rsid w:val="006F5317"/>
    <w:rsid w:val="006F57CF"/>
    <w:rsid w:val="00701826"/>
    <w:rsid w:val="00702E1B"/>
    <w:rsid w:val="007034B5"/>
    <w:rsid w:val="00707599"/>
    <w:rsid w:val="00711779"/>
    <w:rsid w:val="00711F05"/>
    <w:rsid w:val="0071492E"/>
    <w:rsid w:val="007152F3"/>
    <w:rsid w:val="007156B6"/>
    <w:rsid w:val="00716E59"/>
    <w:rsid w:val="00717B59"/>
    <w:rsid w:val="007228AB"/>
    <w:rsid w:val="00722AFB"/>
    <w:rsid w:val="00723B39"/>
    <w:rsid w:val="00723F73"/>
    <w:rsid w:val="00725162"/>
    <w:rsid w:val="00725B10"/>
    <w:rsid w:val="00731235"/>
    <w:rsid w:val="00733204"/>
    <w:rsid w:val="007344A9"/>
    <w:rsid w:val="0073472F"/>
    <w:rsid w:val="00734D0F"/>
    <w:rsid w:val="00737EA4"/>
    <w:rsid w:val="007400B1"/>
    <w:rsid w:val="007409FC"/>
    <w:rsid w:val="00740A41"/>
    <w:rsid w:val="00747360"/>
    <w:rsid w:val="00753336"/>
    <w:rsid w:val="00755C66"/>
    <w:rsid w:val="007563CC"/>
    <w:rsid w:val="007614B1"/>
    <w:rsid w:val="00762649"/>
    <w:rsid w:val="00762F8A"/>
    <w:rsid w:val="007660C1"/>
    <w:rsid w:val="007702B6"/>
    <w:rsid w:val="007762CD"/>
    <w:rsid w:val="00777EE1"/>
    <w:rsid w:val="00781A27"/>
    <w:rsid w:val="0078261C"/>
    <w:rsid w:val="00783089"/>
    <w:rsid w:val="007846C6"/>
    <w:rsid w:val="007911FE"/>
    <w:rsid w:val="00791578"/>
    <w:rsid w:val="00793563"/>
    <w:rsid w:val="00796259"/>
    <w:rsid w:val="00796F26"/>
    <w:rsid w:val="007A19B6"/>
    <w:rsid w:val="007A20F4"/>
    <w:rsid w:val="007A3304"/>
    <w:rsid w:val="007A3F10"/>
    <w:rsid w:val="007A42F7"/>
    <w:rsid w:val="007A7E47"/>
    <w:rsid w:val="007B05AC"/>
    <w:rsid w:val="007B0FD1"/>
    <w:rsid w:val="007B225E"/>
    <w:rsid w:val="007B39AA"/>
    <w:rsid w:val="007B6597"/>
    <w:rsid w:val="007B7205"/>
    <w:rsid w:val="007B790F"/>
    <w:rsid w:val="007C1298"/>
    <w:rsid w:val="007C1C5A"/>
    <w:rsid w:val="007C28B2"/>
    <w:rsid w:val="007C2A47"/>
    <w:rsid w:val="007C52AE"/>
    <w:rsid w:val="007C537C"/>
    <w:rsid w:val="007C5AD4"/>
    <w:rsid w:val="007D1544"/>
    <w:rsid w:val="007D1D86"/>
    <w:rsid w:val="007D303A"/>
    <w:rsid w:val="007D3753"/>
    <w:rsid w:val="007D38C8"/>
    <w:rsid w:val="007D7AF2"/>
    <w:rsid w:val="007D7EF9"/>
    <w:rsid w:val="007E117E"/>
    <w:rsid w:val="007E1A67"/>
    <w:rsid w:val="007E2187"/>
    <w:rsid w:val="007E51F1"/>
    <w:rsid w:val="007E5344"/>
    <w:rsid w:val="007E553F"/>
    <w:rsid w:val="007E599F"/>
    <w:rsid w:val="007E6B80"/>
    <w:rsid w:val="007E782F"/>
    <w:rsid w:val="007F0288"/>
    <w:rsid w:val="007F03DF"/>
    <w:rsid w:val="007F0913"/>
    <w:rsid w:val="007F14D4"/>
    <w:rsid w:val="007F1FEA"/>
    <w:rsid w:val="007F6166"/>
    <w:rsid w:val="007F63E9"/>
    <w:rsid w:val="008047FE"/>
    <w:rsid w:val="00804874"/>
    <w:rsid w:val="008054D0"/>
    <w:rsid w:val="008071DC"/>
    <w:rsid w:val="008077C5"/>
    <w:rsid w:val="008122A6"/>
    <w:rsid w:val="008122B5"/>
    <w:rsid w:val="0081764E"/>
    <w:rsid w:val="008225F0"/>
    <w:rsid w:val="008232D0"/>
    <w:rsid w:val="00823CE9"/>
    <w:rsid w:val="00823EA0"/>
    <w:rsid w:val="008264CA"/>
    <w:rsid w:val="00831E72"/>
    <w:rsid w:val="00832326"/>
    <w:rsid w:val="00837727"/>
    <w:rsid w:val="00837B77"/>
    <w:rsid w:val="00840F45"/>
    <w:rsid w:val="008438D9"/>
    <w:rsid w:val="008449E2"/>
    <w:rsid w:val="00844BD0"/>
    <w:rsid w:val="00845A3F"/>
    <w:rsid w:val="00846431"/>
    <w:rsid w:val="00847187"/>
    <w:rsid w:val="0085015F"/>
    <w:rsid w:val="0085219C"/>
    <w:rsid w:val="0085290C"/>
    <w:rsid w:val="00852BEA"/>
    <w:rsid w:val="00854BC9"/>
    <w:rsid w:val="00855917"/>
    <w:rsid w:val="00856889"/>
    <w:rsid w:val="00856F0F"/>
    <w:rsid w:val="008577F4"/>
    <w:rsid w:val="00857E3A"/>
    <w:rsid w:val="008601A7"/>
    <w:rsid w:val="008609B8"/>
    <w:rsid w:val="00860B1A"/>
    <w:rsid w:val="00861270"/>
    <w:rsid w:val="00866A7F"/>
    <w:rsid w:val="00870709"/>
    <w:rsid w:val="00875C20"/>
    <w:rsid w:val="0087633E"/>
    <w:rsid w:val="00882900"/>
    <w:rsid w:val="008843DA"/>
    <w:rsid w:val="00884411"/>
    <w:rsid w:val="008847DD"/>
    <w:rsid w:val="0088641D"/>
    <w:rsid w:val="00886A12"/>
    <w:rsid w:val="00887851"/>
    <w:rsid w:val="00890C16"/>
    <w:rsid w:val="00891EB6"/>
    <w:rsid w:val="0089671D"/>
    <w:rsid w:val="008976D3"/>
    <w:rsid w:val="008A21DA"/>
    <w:rsid w:val="008A240A"/>
    <w:rsid w:val="008A39A6"/>
    <w:rsid w:val="008A4315"/>
    <w:rsid w:val="008A5734"/>
    <w:rsid w:val="008A6766"/>
    <w:rsid w:val="008A7982"/>
    <w:rsid w:val="008B0123"/>
    <w:rsid w:val="008B082C"/>
    <w:rsid w:val="008B0854"/>
    <w:rsid w:val="008B1EB6"/>
    <w:rsid w:val="008B34B9"/>
    <w:rsid w:val="008B42DC"/>
    <w:rsid w:val="008B449A"/>
    <w:rsid w:val="008B4FB9"/>
    <w:rsid w:val="008B621D"/>
    <w:rsid w:val="008B6489"/>
    <w:rsid w:val="008C0E0C"/>
    <w:rsid w:val="008C28E1"/>
    <w:rsid w:val="008C4BB7"/>
    <w:rsid w:val="008C54B5"/>
    <w:rsid w:val="008C6599"/>
    <w:rsid w:val="008C7580"/>
    <w:rsid w:val="008D0F83"/>
    <w:rsid w:val="008D1BC3"/>
    <w:rsid w:val="008D2B7E"/>
    <w:rsid w:val="008D2F11"/>
    <w:rsid w:val="008D52B2"/>
    <w:rsid w:val="008D60E2"/>
    <w:rsid w:val="008D6183"/>
    <w:rsid w:val="008E3BC9"/>
    <w:rsid w:val="008E4CEF"/>
    <w:rsid w:val="008E57A6"/>
    <w:rsid w:val="008E7E34"/>
    <w:rsid w:val="008F048B"/>
    <w:rsid w:val="008F1856"/>
    <w:rsid w:val="008F2A3C"/>
    <w:rsid w:val="008F738A"/>
    <w:rsid w:val="00902937"/>
    <w:rsid w:val="00913D95"/>
    <w:rsid w:val="00915D32"/>
    <w:rsid w:val="00915FE1"/>
    <w:rsid w:val="009160F0"/>
    <w:rsid w:val="00916636"/>
    <w:rsid w:val="00923DA0"/>
    <w:rsid w:val="00925C01"/>
    <w:rsid w:val="0092652D"/>
    <w:rsid w:val="00927220"/>
    <w:rsid w:val="009307DD"/>
    <w:rsid w:val="00931B2E"/>
    <w:rsid w:val="009376F2"/>
    <w:rsid w:val="00940659"/>
    <w:rsid w:val="00942E63"/>
    <w:rsid w:val="00942E9D"/>
    <w:rsid w:val="0094566E"/>
    <w:rsid w:val="00946787"/>
    <w:rsid w:val="00946A0E"/>
    <w:rsid w:val="0094749B"/>
    <w:rsid w:val="00950121"/>
    <w:rsid w:val="00951776"/>
    <w:rsid w:val="00953C5F"/>
    <w:rsid w:val="0095497C"/>
    <w:rsid w:val="00954E46"/>
    <w:rsid w:val="00957AE8"/>
    <w:rsid w:val="00957F21"/>
    <w:rsid w:val="00962194"/>
    <w:rsid w:val="0096258A"/>
    <w:rsid w:val="00962B83"/>
    <w:rsid w:val="00963EDD"/>
    <w:rsid w:val="00964AEF"/>
    <w:rsid w:val="00964FD0"/>
    <w:rsid w:val="00970651"/>
    <w:rsid w:val="0097370A"/>
    <w:rsid w:val="0097472C"/>
    <w:rsid w:val="009756D9"/>
    <w:rsid w:val="009756F7"/>
    <w:rsid w:val="009767A2"/>
    <w:rsid w:val="00976E29"/>
    <w:rsid w:val="009774A7"/>
    <w:rsid w:val="00982083"/>
    <w:rsid w:val="0098227F"/>
    <w:rsid w:val="00982CCA"/>
    <w:rsid w:val="00982E50"/>
    <w:rsid w:val="00982FC3"/>
    <w:rsid w:val="009838D6"/>
    <w:rsid w:val="00983ECF"/>
    <w:rsid w:val="00986634"/>
    <w:rsid w:val="00986D33"/>
    <w:rsid w:val="00990286"/>
    <w:rsid w:val="00990931"/>
    <w:rsid w:val="00990FF4"/>
    <w:rsid w:val="009915A7"/>
    <w:rsid w:val="009924E2"/>
    <w:rsid w:val="0099450A"/>
    <w:rsid w:val="00996BA1"/>
    <w:rsid w:val="009970AB"/>
    <w:rsid w:val="009973B4"/>
    <w:rsid w:val="009A0A8B"/>
    <w:rsid w:val="009A0EDB"/>
    <w:rsid w:val="009A185D"/>
    <w:rsid w:val="009A1BD3"/>
    <w:rsid w:val="009A2D52"/>
    <w:rsid w:val="009A4C61"/>
    <w:rsid w:val="009A51CE"/>
    <w:rsid w:val="009A66D4"/>
    <w:rsid w:val="009A7173"/>
    <w:rsid w:val="009A7753"/>
    <w:rsid w:val="009B1BFD"/>
    <w:rsid w:val="009B290F"/>
    <w:rsid w:val="009B3EC0"/>
    <w:rsid w:val="009B49EA"/>
    <w:rsid w:val="009B4E20"/>
    <w:rsid w:val="009B50C1"/>
    <w:rsid w:val="009B79C7"/>
    <w:rsid w:val="009C07E8"/>
    <w:rsid w:val="009C177C"/>
    <w:rsid w:val="009C3A9D"/>
    <w:rsid w:val="009C4082"/>
    <w:rsid w:val="009C49A5"/>
    <w:rsid w:val="009C5CD6"/>
    <w:rsid w:val="009D04D3"/>
    <w:rsid w:val="009D14AE"/>
    <w:rsid w:val="009D6FF8"/>
    <w:rsid w:val="009D74DF"/>
    <w:rsid w:val="009E33B5"/>
    <w:rsid w:val="009E4507"/>
    <w:rsid w:val="009E4788"/>
    <w:rsid w:val="009E79A6"/>
    <w:rsid w:val="009E7C87"/>
    <w:rsid w:val="009F06D6"/>
    <w:rsid w:val="009F1C8F"/>
    <w:rsid w:val="009F1FD7"/>
    <w:rsid w:val="009F3D74"/>
    <w:rsid w:val="00A000B8"/>
    <w:rsid w:val="00A0183A"/>
    <w:rsid w:val="00A03BF7"/>
    <w:rsid w:val="00A05AEF"/>
    <w:rsid w:val="00A06566"/>
    <w:rsid w:val="00A10943"/>
    <w:rsid w:val="00A10D8A"/>
    <w:rsid w:val="00A12019"/>
    <w:rsid w:val="00A12A44"/>
    <w:rsid w:val="00A13CA0"/>
    <w:rsid w:val="00A149F5"/>
    <w:rsid w:val="00A15340"/>
    <w:rsid w:val="00A16D4A"/>
    <w:rsid w:val="00A170F6"/>
    <w:rsid w:val="00A20C95"/>
    <w:rsid w:val="00A2445D"/>
    <w:rsid w:val="00A24474"/>
    <w:rsid w:val="00A30220"/>
    <w:rsid w:val="00A316CD"/>
    <w:rsid w:val="00A319A9"/>
    <w:rsid w:val="00A32115"/>
    <w:rsid w:val="00A3252C"/>
    <w:rsid w:val="00A360B9"/>
    <w:rsid w:val="00A37436"/>
    <w:rsid w:val="00A37B52"/>
    <w:rsid w:val="00A400C9"/>
    <w:rsid w:val="00A40626"/>
    <w:rsid w:val="00A40CEE"/>
    <w:rsid w:val="00A40E97"/>
    <w:rsid w:val="00A40FA4"/>
    <w:rsid w:val="00A4165A"/>
    <w:rsid w:val="00A425CD"/>
    <w:rsid w:val="00A4277B"/>
    <w:rsid w:val="00A434AC"/>
    <w:rsid w:val="00A43D43"/>
    <w:rsid w:val="00A43D72"/>
    <w:rsid w:val="00A44393"/>
    <w:rsid w:val="00A45BC8"/>
    <w:rsid w:val="00A47397"/>
    <w:rsid w:val="00A5086F"/>
    <w:rsid w:val="00A508A1"/>
    <w:rsid w:val="00A51993"/>
    <w:rsid w:val="00A53EB8"/>
    <w:rsid w:val="00A54501"/>
    <w:rsid w:val="00A54709"/>
    <w:rsid w:val="00A555DE"/>
    <w:rsid w:val="00A55B65"/>
    <w:rsid w:val="00A56005"/>
    <w:rsid w:val="00A61BB0"/>
    <w:rsid w:val="00A62299"/>
    <w:rsid w:val="00A639A0"/>
    <w:rsid w:val="00A64FEE"/>
    <w:rsid w:val="00A657F6"/>
    <w:rsid w:val="00A6635C"/>
    <w:rsid w:val="00A710BC"/>
    <w:rsid w:val="00A7116E"/>
    <w:rsid w:val="00A74DC1"/>
    <w:rsid w:val="00A755EC"/>
    <w:rsid w:val="00A77C8F"/>
    <w:rsid w:val="00A824B0"/>
    <w:rsid w:val="00A82658"/>
    <w:rsid w:val="00A82919"/>
    <w:rsid w:val="00A835DD"/>
    <w:rsid w:val="00A84FA5"/>
    <w:rsid w:val="00A87BD8"/>
    <w:rsid w:val="00A9170A"/>
    <w:rsid w:val="00A97623"/>
    <w:rsid w:val="00AA08C6"/>
    <w:rsid w:val="00AA1DEE"/>
    <w:rsid w:val="00AA1E37"/>
    <w:rsid w:val="00AA4759"/>
    <w:rsid w:val="00AA579F"/>
    <w:rsid w:val="00AA72D0"/>
    <w:rsid w:val="00AC0199"/>
    <w:rsid w:val="00AC237F"/>
    <w:rsid w:val="00AC4249"/>
    <w:rsid w:val="00AD2807"/>
    <w:rsid w:val="00AD4798"/>
    <w:rsid w:val="00AD6AD5"/>
    <w:rsid w:val="00AE0239"/>
    <w:rsid w:val="00AE077D"/>
    <w:rsid w:val="00AE2C03"/>
    <w:rsid w:val="00AE5E5C"/>
    <w:rsid w:val="00AE6033"/>
    <w:rsid w:val="00AF0F34"/>
    <w:rsid w:val="00AF2AAA"/>
    <w:rsid w:val="00AF2ED8"/>
    <w:rsid w:val="00AF3654"/>
    <w:rsid w:val="00AF3D2C"/>
    <w:rsid w:val="00AF4166"/>
    <w:rsid w:val="00AF48AC"/>
    <w:rsid w:val="00AF48BD"/>
    <w:rsid w:val="00AF5959"/>
    <w:rsid w:val="00AF740A"/>
    <w:rsid w:val="00B0084A"/>
    <w:rsid w:val="00B021C3"/>
    <w:rsid w:val="00B05548"/>
    <w:rsid w:val="00B1611E"/>
    <w:rsid w:val="00B17DC4"/>
    <w:rsid w:val="00B212E3"/>
    <w:rsid w:val="00B22232"/>
    <w:rsid w:val="00B231AF"/>
    <w:rsid w:val="00B26CC9"/>
    <w:rsid w:val="00B27516"/>
    <w:rsid w:val="00B27EC7"/>
    <w:rsid w:val="00B307F5"/>
    <w:rsid w:val="00B326F8"/>
    <w:rsid w:val="00B32CA1"/>
    <w:rsid w:val="00B331B9"/>
    <w:rsid w:val="00B33C3C"/>
    <w:rsid w:val="00B34AA5"/>
    <w:rsid w:val="00B34E7B"/>
    <w:rsid w:val="00B3590D"/>
    <w:rsid w:val="00B424C7"/>
    <w:rsid w:val="00B43E86"/>
    <w:rsid w:val="00B44474"/>
    <w:rsid w:val="00B4472C"/>
    <w:rsid w:val="00B451B5"/>
    <w:rsid w:val="00B4524C"/>
    <w:rsid w:val="00B473A4"/>
    <w:rsid w:val="00B473C5"/>
    <w:rsid w:val="00B51215"/>
    <w:rsid w:val="00B538AB"/>
    <w:rsid w:val="00B5611E"/>
    <w:rsid w:val="00B56960"/>
    <w:rsid w:val="00B6072B"/>
    <w:rsid w:val="00B628AB"/>
    <w:rsid w:val="00B62D8E"/>
    <w:rsid w:val="00B63EAD"/>
    <w:rsid w:val="00B64F1F"/>
    <w:rsid w:val="00B65ED9"/>
    <w:rsid w:val="00B702D3"/>
    <w:rsid w:val="00B70997"/>
    <w:rsid w:val="00B71C17"/>
    <w:rsid w:val="00B71DDA"/>
    <w:rsid w:val="00B75063"/>
    <w:rsid w:val="00B77AF7"/>
    <w:rsid w:val="00B80E24"/>
    <w:rsid w:val="00B80E55"/>
    <w:rsid w:val="00B8502F"/>
    <w:rsid w:val="00B852EE"/>
    <w:rsid w:val="00B8532E"/>
    <w:rsid w:val="00B855EA"/>
    <w:rsid w:val="00B85FAB"/>
    <w:rsid w:val="00B8639D"/>
    <w:rsid w:val="00B91140"/>
    <w:rsid w:val="00B91561"/>
    <w:rsid w:val="00B93940"/>
    <w:rsid w:val="00B9443F"/>
    <w:rsid w:val="00B9591D"/>
    <w:rsid w:val="00B97F71"/>
    <w:rsid w:val="00BA2EBD"/>
    <w:rsid w:val="00BA48A2"/>
    <w:rsid w:val="00BA65AB"/>
    <w:rsid w:val="00BA6BEA"/>
    <w:rsid w:val="00BA7ABD"/>
    <w:rsid w:val="00BA7C60"/>
    <w:rsid w:val="00BA7FF0"/>
    <w:rsid w:val="00BB115B"/>
    <w:rsid w:val="00BB218C"/>
    <w:rsid w:val="00BB443C"/>
    <w:rsid w:val="00BB5BE9"/>
    <w:rsid w:val="00BB5CDF"/>
    <w:rsid w:val="00BC0319"/>
    <w:rsid w:val="00BC0408"/>
    <w:rsid w:val="00BC17F2"/>
    <w:rsid w:val="00BC1F11"/>
    <w:rsid w:val="00BC3383"/>
    <w:rsid w:val="00BD12DE"/>
    <w:rsid w:val="00BD4D15"/>
    <w:rsid w:val="00BD5623"/>
    <w:rsid w:val="00BD5A80"/>
    <w:rsid w:val="00BD6FEB"/>
    <w:rsid w:val="00BD7484"/>
    <w:rsid w:val="00BE06D3"/>
    <w:rsid w:val="00BE3CA7"/>
    <w:rsid w:val="00BE3F2A"/>
    <w:rsid w:val="00BE4EEB"/>
    <w:rsid w:val="00BE529F"/>
    <w:rsid w:val="00BE5A9B"/>
    <w:rsid w:val="00BE6D22"/>
    <w:rsid w:val="00BE7DCD"/>
    <w:rsid w:val="00BF21B4"/>
    <w:rsid w:val="00BF3026"/>
    <w:rsid w:val="00BF3044"/>
    <w:rsid w:val="00BF4041"/>
    <w:rsid w:val="00BF50DF"/>
    <w:rsid w:val="00C002EA"/>
    <w:rsid w:val="00C009EF"/>
    <w:rsid w:val="00C00CDD"/>
    <w:rsid w:val="00C02195"/>
    <w:rsid w:val="00C02846"/>
    <w:rsid w:val="00C051DC"/>
    <w:rsid w:val="00C06986"/>
    <w:rsid w:val="00C06B09"/>
    <w:rsid w:val="00C06FE2"/>
    <w:rsid w:val="00C0736F"/>
    <w:rsid w:val="00C11FD3"/>
    <w:rsid w:val="00C12769"/>
    <w:rsid w:val="00C1665B"/>
    <w:rsid w:val="00C1721E"/>
    <w:rsid w:val="00C174C3"/>
    <w:rsid w:val="00C178D0"/>
    <w:rsid w:val="00C2042E"/>
    <w:rsid w:val="00C21466"/>
    <w:rsid w:val="00C21900"/>
    <w:rsid w:val="00C21938"/>
    <w:rsid w:val="00C21C16"/>
    <w:rsid w:val="00C246BA"/>
    <w:rsid w:val="00C25166"/>
    <w:rsid w:val="00C251D6"/>
    <w:rsid w:val="00C31D32"/>
    <w:rsid w:val="00C32D43"/>
    <w:rsid w:val="00C35C5D"/>
    <w:rsid w:val="00C377A6"/>
    <w:rsid w:val="00C40545"/>
    <w:rsid w:val="00C41415"/>
    <w:rsid w:val="00C41E26"/>
    <w:rsid w:val="00C45444"/>
    <w:rsid w:val="00C50C6A"/>
    <w:rsid w:val="00C52131"/>
    <w:rsid w:val="00C528CA"/>
    <w:rsid w:val="00C53155"/>
    <w:rsid w:val="00C54301"/>
    <w:rsid w:val="00C54445"/>
    <w:rsid w:val="00C54A13"/>
    <w:rsid w:val="00C54A54"/>
    <w:rsid w:val="00C60D7F"/>
    <w:rsid w:val="00C6171A"/>
    <w:rsid w:val="00C64932"/>
    <w:rsid w:val="00C65A31"/>
    <w:rsid w:val="00C7148C"/>
    <w:rsid w:val="00C72306"/>
    <w:rsid w:val="00C7392A"/>
    <w:rsid w:val="00C740F0"/>
    <w:rsid w:val="00C74278"/>
    <w:rsid w:val="00C754E0"/>
    <w:rsid w:val="00C75E38"/>
    <w:rsid w:val="00C7763E"/>
    <w:rsid w:val="00C820F3"/>
    <w:rsid w:val="00C828AC"/>
    <w:rsid w:val="00C8354B"/>
    <w:rsid w:val="00C8369C"/>
    <w:rsid w:val="00C85FFC"/>
    <w:rsid w:val="00C86187"/>
    <w:rsid w:val="00C91511"/>
    <w:rsid w:val="00C94F96"/>
    <w:rsid w:val="00C97316"/>
    <w:rsid w:val="00CA02E5"/>
    <w:rsid w:val="00CA06D8"/>
    <w:rsid w:val="00CA1763"/>
    <w:rsid w:val="00CA2D42"/>
    <w:rsid w:val="00CA32E6"/>
    <w:rsid w:val="00CA51FB"/>
    <w:rsid w:val="00CA5AFC"/>
    <w:rsid w:val="00CA7BC7"/>
    <w:rsid w:val="00CB0F2A"/>
    <w:rsid w:val="00CB2BBE"/>
    <w:rsid w:val="00CB4320"/>
    <w:rsid w:val="00CB43C4"/>
    <w:rsid w:val="00CB4FCA"/>
    <w:rsid w:val="00CC09FF"/>
    <w:rsid w:val="00CC3326"/>
    <w:rsid w:val="00CC5EF8"/>
    <w:rsid w:val="00CD1E73"/>
    <w:rsid w:val="00CD2342"/>
    <w:rsid w:val="00CD23FB"/>
    <w:rsid w:val="00CD25C5"/>
    <w:rsid w:val="00CD72AA"/>
    <w:rsid w:val="00CE074F"/>
    <w:rsid w:val="00CE0C92"/>
    <w:rsid w:val="00CE0D29"/>
    <w:rsid w:val="00CE24D3"/>
    <w:rsid w:val="00CE3F34"/>
    <w:rsid w:val="00CE4957"/>
    <w:rsid w:val="00CE6768"/>
    <w:rsid w:val="00CE7E7F"/>
    <w:rsid w:val="00CF01BB"/>
    <w:rsid w:val="00CF0492"/>
    <w:rsid w:val="00CF2F8F"/>
    <w:rsid w:val="00CF6AD2"/>
    <w:rsid w:val="00CF79FF"/>
    <w:rsid w:val="00CF7D83"/>
    <w:rsid w:val="00D00355"/>
    <w:rsid w:val="00D008C6"/>
    <w:rsid w:val="00D028F6"/>
    <w:rsid w:val="00D03093"/>
    <w:rsid w:val="00D04B2F"/>
    <w:rsid w:val="00D05F9F"/>
    <w:rsid w:val="00D065E2"/>
    <w:rsid w:val="00D0668C"/>
    <w:rsid w:val="00D11C49"/>
    <w:rsid w:val="00D12634"/>
    <w:rsid w:val="00D204DF"/>
    <w:rsid w:val="00D21A4B"/>
    <w:rsid w:val="00D23569"/>
    <w:rsid w:val="00D23E3F"/>
    <w:rsid w:val="00D24550"/>
    <w:rsid w:val="00D26D56"/>
    <w:rsid w:val="00D30AE1"/>
    <w:rsid w:val="00D338DA"/>
    <w:rsid w:val="00D35457"/>
    <w:rsid w:val="00D37C2A"/>
    <w:rsid w:val="00D402EA"/>
    <w:rsid w:val="00D40CD0"/>
    <w:rsid w:val="00D4179A"/>
    <w:rsid w:val="00D42888"/>
    <w:rsid w:val="00D42B59"/>
    <w:rsid w:val="00D4517D"/>
    <w:rsid w:val="00D51182"/>
    <w:rsid w:val="00D51A76"/>
    <w:rsid w:val="00D5328D"/>
    <w:rsid w:val="00D53909"/>
    <w:rsid w:val="00D55174"/>
    <w:rsid w:val="00D566A5"/>
    <w:rsid w:val="00D5738D"/>
    <w:rsid w:val="00D6223B"/>
    <w:rsid w:val="00D62240"/>
    <w:rsid w:val="00D6341E"/>
    <w:rsid w:val="00D63E36"/>
    <w:rsid w:val="00D646AC"/>
    <w:rsid w:val="00D64C1A"/>
    <w:rsid w:val="00D67C4E"/>
    <w:rsid w:val="00D70B82"/>
    <w:rsid w:val="00D731C7"/>
    <w:rsid w:val="00D736B6"/>
    <w:rsid w:val="00D744CA"/>
    <w:rsid w:val="00D7451B"/>
    <w:rsid w:val="00D7458E"/>
    <w:rsid w:val="00D74A34"/>
    <w:rsid w:val="00D7580B"/>
    <w:rsid w:val="00D7601E"/>
    <w:rsid w:val="00D824BA"/>
    <w:rsid w:val="00D833CB"/>
    <w:rsid w:val="00D8364D"/>
    <w:rsid w:val="00D8449C"/>
    <w:rsid w:val="00D85334"/>
    <w:rsid w:val="00D85557"/>
    <w:rsid w:val="00D85600"/>
    <w:rsid w:val="00D858E0"/>
    <w:rsid w:val="00D8734E"/>
    <w:rsid w:val="00D906FC"/>
    <w:rsid w:val="00D90CE5"/>
    <w:rsid w:val="00D91013"/>
    <w:rsid w:val="00D91124"/>
    <w:rsid w:val="00D94E14"/>
    <w:rsid w:val="00DA04F1"/>
    <w:rsid w:val="00DA0B8A"/>
    <w:rsid w:val="00DA3D04"/>
    <w:rsid w:val="00DA4F3F"/>
    <w:rsid w:val="00DA5A08"/>
    <w:rsid w:val="00DA5B11"/>
    <w:rsid w:val="00DA5E8C"/>
    <w:rsid w:val="00DA5F86"/>
    <w:rsid w:val="00DA73F4"/>
    <w:rsid w:val="00DB078C"/>
    <w:rsid w:val="00DB132B"/>
    <w:rsid w:val="00DB2FE1"/>
    <w:rsid w:val="00DB3722"/>
    <w:rsid w:val="00DC044D"/>
    <w:rsid w:val="00DC495E"/>
    <w:rsid w:val="00DC4D9D"/>
    <w:rsid w:val="00DC7F81"/>
    <w:rsid w:val="00DD10E4"/>
    <w:rsid w:val="00DD2A3B"/>
    <w:rsid w:val="00DD4D7D"/>
    <w:rsid w:val="00DD608B"/>
    <w:rsid w:val="00DD712C"/>
    <w:rsid w:val="00DE0F16"/>
    <w:rsid w:val="00DE1E9C"/>
    <w:rsid w:val="00DE5EED"/>
    <w:rsid w:val="00DF02A7"/>
    <w:rsid w:val="00DF0C8C"/>
    <w:rsid w:val="00DF16E6"/>
    <w:rsid w:val="00DF1F2D"/>
    <w:rsid w:val="00DF339B"/>
    <w:rsid w:val="00DF4323"/>
    <w:rsid w:val="00DF7681"/>
    <w:rsid w:val="00E0439E"/>
    <w:rsid w:val="00E04581"/>
    <w:rsid w:val="00E04D54"/>
    <w:rsid w:val="00E058F4"/>
    <w:rsid w:val="00E11A31"/>
    <w:rsid w:val="00E128CB"/>
    <w:rsid w:val="00E133CC"/>
    <w:rsid w:val="00E13528"/>
    <w:rsid w:val="00E21909"/>
    <w:rsid w:val="00E21FB5"/>
    <w:rsid w:val="00E24ED5"/>
    <w:rsid w:val="00E31A5A"/>
    <w:rsid w:val="00E31F92"/>
    <w:rsid w:val="00E337C9"/>
    <w:rsid w:val="00E40185"/>
    <w:rsid w:val="00E40996"/>
    <w:rsid w:val="00E41A9F"/>
    <w:rsid w:val="00E41D9E"/>
    <w:rsid w:val="00E43316"/>
    <w:rsid w:val="00E439A3"/>
    <w:rsid w:val="00E43ECC"/>
    <w:rsid w:val="00E440D4"/>
    <w:rsid w:val="00E4418E"/>
    <w:rsid w:val="00E44DCF"/>
    <w:rsid w:val="00E45263"/>
    <w:rsid w:val="00E47C9E"/>
    <w:rsid w:val="00E50520"/>
    <w:rsid w:val="00E532F5"/>
    <w:rsid w:val="00E55675"/>
    <w:rsid w:val="00E55B67"/>
    <w:rsid w:val="00E614CC"/>
    <w:rsid w:val="00E65A9C"/>
    <w:rsid w:val="00E704A3"/>
    <w:rsid w:val="00E70737"/>
    <w:rsid w:val="00E71521"/>
    <w:rsid w:val="00E719F0"/>
    <w:rsid w:val="00E738D6"/>
    <w:rsid w:val="00E74170"/>
    <w:rsid w:val="00E74FA4"/>
    <w:rsid w:val="00E76B78"/>
    <w:rsid w:val="00E776A0"/>
    <w:rsid w:val="00E776ED"/>
    <w:rsid w:val="00E77D09"/>
    <w:rsid w:val="00E81EDD"/>
    <w:rsid w:val="00E82865"/>
    <w:rsid w:val="00E830BD"/>
    <w:rsid w:val="00E84262"/>
    <w:rsid w:val="00E851E6"/>
    <w:rsid w:val="00E8627C"/>
    <w:rsid w:val="00E936DA"/>
    <w:rsid w:val="00E93C9F"/>
    <w:rsid w:val="00E93D13"/>
    <w:rsid w:val="00E953F2"/>
    <w:rsid w:val="00E95D76"/>
    <w:rsid w:val="00E95F40"/>
    <w:rsid w:val="00E967DA"/>
    <w:rsid w:val="00E9786C"/>
    <w:rsid w:val="00E97F4E"/>
    <w:rsid w:val="00EA3BE8"/>
    <w:rsid w:val="00EA41A7"/>
    <w:rsid w:val="00EA5A17"/>
    <w:rsid w:val="00EB127F"/>
    <w:rsid w:val="00EB16D5"/>
    <w:rsid w:val="00EB3169"/>
    <w:rsid w:val="00EB390F"/>
    <w:rsid w:val="00EB62B6"/>
    <w:rsid w:val="00EB7746"/>
    <w:rsid w:val="00EB7FE4"/>
    <w:rsid w:val="00EC03C2"/>
    <w:rsid w:val="00EC10DB"/>
    <w:rsid w:val="00EC1F81"/>
    <w:rsid w:val="00EC22B4"/>
    <w:rsid w:val="00EC22BA"/>
    <w:rsid w:val="00EC37A2"/>
    <w:rsid w:val="00EC5CD4"/>
    <w:rsid w:val="00EC7C0F"/>
    <w:rsid w:val="00ED0202"/>
    <w:rsid w:val="00ED04DC"/>
    <w:rsid w:val="00ED16AA"/>
    <w:rsid w:val="00ED2B4D"/>
    <w:rsid w:val="00ED5343"/>
    <w:rsid w:val="00ED7AD0"/>
    <w:rsid w:val="00EE0A27"/>
    <w:rsid w:val="00EE0FA6"/>
    <w:rsid w:val="00EE285F"/>
    <w:rsid w:val="00EE2A12"/>
    <w:rsid w:val="00EE2CC8"/>
    <w:rsid w:val="00EE34FA"/>
    <w:rsid w:val="00EE51FF"/>
    <w:rsid w:val="00EF12FE"/>
    <w:rsid w:val="00EF16FF"/>
    <w:rsid w:val="00EF2337"/>
    <w:rsid w:val="00EF2539"/>
    <w:rsid w:val="00EF4566"/>
    <w:rsid w:val="00EF4613"/>
    <w:rsid w:val="00EF4697"/>
    <w:rsid w:val="00EF4C04"/>
    <w:rsid w:val="00EF5A8C"/>
    <w:rsid w:val="00F009B8"/>
    <w:rsid w:val="00F00C3F"/>
    <w:rsid w:val="00F04611"/>
    <w:rsid w:val="00F04D73"/>
    <w:rsid w:val="00F06BEF"/>
    <w:rsid w:val="00F07B6F"/>
    <w:rsid w:val="00F07C40"/>
    <w:rsid w:val="00F101C5"/>
    <w:rsid w:val="00F1574E"/>
    <w:rsid w:val="00F1680A"/>
    <w:rsid w:val="00F16DC8"/>
    <w:rsid w:val="00F16F76"/>
    <w:rsid w:val="00F20493"/>
    <w:rsid w:val="00F21170"/>
    <w:rsid w:val="00F21D30"/>
    <w:rsid w:val="00F22B1A"/>
    <w:rsid w:val="00F23B09"/>
    <w:rsid w:val="00F25037"/>
    <w:rsid w:val="00F25836"/>
    <w:rsid w:val="00F26827"/>
    <w:rsid w:val="00F30291"/>
    <w:rsid w:val="00F30921"/>
    <w:rsid w:val="00F349B3"/>
    <w:rsid w:val="00F34B46"/>
    <w:rsid w:val="00F34E7F"/>
    <w:rsid w:val="00F35614"/>
    <w:rsid w:val="00F3561B"/>
    <w:rsid w:val="00F409C9"/>
    <w:rsid w:val="00F41505"/>
    <w:rsid w:val="00F42225"/>
    <w:rsid w:val="00F42ACF"/>
    <w:rsid w:val="00F44CA4"/>
    <w:rsid w:val="00F46DCC"/>
    <w:rsid w:val="00F475C7"/>
    <w:rsid w:val="00F536AA"/>
    <w:rsid w:val="00F5737A"/>
    <w:rsid w:val="00F57D0F"/>
    <w:rsid w:val="00F605B9"/>
    <w:rsid w:val="00F61CD4"/>
    <w:rsid w:val="00F642D4"/>
    <w:rsid w:val="00F650BD"/>
    <w:rsid w:val="00F65492"/>
    <w:rsid w:val="00F6569A"/>
    <w:rsid w:val="00F70867"/>
    <w:rsid w:val="00F70F7E"/>
    <w:rsid w:val="00F71E15"/>
    <w:rsid w:val="00F7218D"/>
    <w:rsid w:val="00F72AA7"/>
    <w:rsid w:val="00F72CEA"/>
    <w:rsid w:val="00F73A13"/>
    <w:rsid w:val="00F7428F"/>
    <w:rsid w:val="00F74A57"/>
    <w:rsid w:val="00F75973"/>
    <w:rsid w:val="00F76103"/>
    <w:rsid w:val="00F77914"/>
    <w:rsid w:val="00F77E03"/>
    <w:rsid w:val="00F80A17"/>
    <w:rsid w:val="00F80C28"/>
    <w:rsid w:val="00F86594"/>
    <w:rsid w:val="00F8742C"/>
    <w:rsid w:val="00F8794A"/>
    <w:rsid w:val="00F87C27"/>
    <w:rsid w:val="00F9015D"/>
    <w:rsid w:val="00F9638F"/>
    <w:rsid w:val="00FA0609"/>
    <w:rsid w:val="00FA14AA"/>
    <w:rsid w:val="00FA2341"/>
    <w:rsid w:val="00FA28DB"/>
    <w:rsid w:val="00FA30E3"/>
    <w:rsid w:val="00FA5935"/>
    <w:rsid w:val="00FA6564"/>
    <w:rsid w:val="00FA7A00"/>
    <w:rsid w:val="00FA7D17"/>
    <w:rsid w:val="00FB1F5D"/>
    <w:rsid w:val="00FB2737"/>
    <w:rsid w:val="00FB2CAD"/>
    <w:rsid w:val="00FB2D48"/>
    <w:rsid w:val="00FB3FAB"/>
    <w:rsid w:val="00FB4527"/>
    <w:rsid w:val="00FB4DA7"/>
    <w:rsid w:val="00FB564A"/>
    <w:rsid w:val="00FB5FDC"/>
    <w:rsid w:val="00FB7089"/>
    <w:rsid w:val="00FC07B8"/>
    <w:rsid w:val="00FC0EBE"/>
    <w:rsid w:val="00FC3C6A"/>
    <w:rsid w:val="00FC5E8A"/>
    <w:rsid w:val="00FC6C20"/>
    <w:rsid w:val="00FC7407"/>
    <w:rsid w:val="00FD0BAE"/>
    <w:rsid w:val="00FD2F13"/>
    <w:rsid w:val="00FD378B"/>
    <w:rsid w:val="00FE2592"/>
    <w:rsid w:val="00FE3029"/>
    <w:rsid w:val="00FE32F1"/>
    <w:rsid w:val="00FE3C6D"/>
    <w:rsid w:val="00FE3F17"/>
    <w:rsid w:val="00FE4219"/>
    <w:rsid w:val="00FE6A63"/>
    <w:rsid w:val="00FE7433"/>
    <w:rsid w:val="00FF26C9"/>
    <w:rsid w:val="00FF294B"/>
    <w:rsid w:val="00FF2E48"/>
    <w:rsid w:val="00FF31A1"/>
    <w:rsid w:val="00FF40AC"/>
    <w:rsid w:val="00FF4B4D"/>
    <w:rsid w:val="00FF5717"/>
    <w:rsid w:val="016F45ED"/>
    <w:rsid w:val="018F3A1A"/>
    <w:rsid w:val="019127B6"/>
    <w:rsid w:val="01B110AA"/>
    <w:rsid w:val="01EA636A"/>
    <w:rsid w:val="021B4929"/>
    <w:rsid w:val="029E162E"/>
    <w:rsid w:val="03045253"/>
    <w:rsid w:val="03A74512"/>
    <w:rsid w:val="04511109"/>
    <w:rsid w:val="045123E4"/>
    <w:rsid w:val="04AE72E6"/>
    <w:rsid w:val="052F1859"/>
    <w:rsid w:val="05E83BD6"/>
    <w:rsid w:val="062C6F51"/>
    <w:rsid w:val="063B2FD8"/>
    <w:rsid w:val="070E48A8"/>
    <w:rsid w:val="073A744C"/>
    <w:rsid w:val="075F5104"/>
    <w:rsid w:val="08203678"/>
    <w:rsid w:val="08D32F55"/>
    <w:rsid w:val="090E293E"/>
    <w:rsid w:val="09670B68"/>
    <w:rsid w:val="09971AA9"/>
    <w:rsid w:val="09E1057A"/>
    <w:rsid w:val="0A026946"/>
    <w:rsid w:val="0A977223"/>
    <w:rsid w:val="0ADF0A36"/>
    <w:rsid w:val="0B00275A"/>
    <w:rsid w:val="0B210227"/>
    <w:rsid w:val="0B495EAF"/>
    <w:rsid w:val="0BE64D85"/>
    <w:rsid w:val="0C255F39"/>
    <w:rsid w:val="0C635D2E"/>
    <w:rsid w:val="0C8B3529"/>
    <w:rsid w:val="0CF6440A"/>
    <w:rsid w:val="0D0F29CF"/>
    <w:rsid w:val="0D443F46"/>
    <w:rsid w:val="0D6B4C5F"/>
    <w:rsid w:val="0D8751B4"/>
    <w:rsid w:val="0DAE649D"/>
    <w:rsid w:val="0E083E00"/>
    <w:rsid w:val="0E377879"/>
    <w:rsid w:val="0E7B3923"/>
    <w:rsid w:val="0E835B7C"/>
    <w:rsid w:val="0EB977F0"/>
    <w:rsid w:val="0ECD0E2A"/>
    <w:rsid w:val="0F735BF1"/>
    <w:rsid w:val="0F7C2CF7"/>
    <w:rsid w:val="10850D78"/>
    <w:rsid w:val="10C10FE4"/>
    <w:rsid w:val="1158509E"/>
    <w:rsid w:val="11853FA1"/>
    <w:rsid w:val="119F2CCD"/>
    <w:rsid w:val="11DB3190"/>
    <w:rsid w:val="12F46AEA"/>
    <w:rsid w:val="13535737"/>
    <w:rsid w:val="14292D22"/>
    <w:rsid w:val="14812805"/>
    <w:rsid w:val="149A59CD"/>
    <w:rsid w:val="15264764"/>
    <w:rsid w:val="152E4A94"/>
    <w:rsid w:val="15313A64"/>
    <w:rsid w:val="15583F4A"/>
    <w:rsid w:val="15CD236C"/>
    <w:rsid w:val="168A1395"/>
    <w:rsid w:val="16CD5679"/>
    <w:rsid w:val="16FC6C2A"/>
    <w:rsid w:val="171D6872"/>
    <w:rsid w:val="17742506"/>
    <w:rsid w:val="17935CA0"/>
    <w:rsid w:val="17C84600"/>
    <w:rsid w:val="189C7F66"/>
    <w:rsid w:val="18A62B93"/>
    <w:rsid w:val="18AC43BE"/>
    <w:rsid w:val="18C63235"/>
    <w:rsid w:val="18E67433"/>
    <w:rsid w:val="18ED44F8"/>
    <w:rsid w:val="18EE0096"/>
    <w:rsid w:val="19D159ED"/>
    <w:rsid w:val="1A506A34"/>
    <w:rsid w:val="1A9C424D"/>
    <w:rsid w:val="1AEF729B"/>
    <w:rsid w:val="1B1E1342"/>
    <w:rsid w:val="1B43291B"/>
    <w:rsid w:val="1BB55E3F"/>
    <w:rsid w:val="1BE3178F"/>
    <w:rsid w:val="1C1442B7"/>
    <w:rsid w:val="1C180E63"/>
    <w:rsid w:val="1CCB3069"/>
    <w:rsid w:val="1CF87735"/>
    <w:rsid w:val="1D1C5D2B"/>
    <w:rsid w:val="1D271DC8"/>
    <w:rsid w:val="1DFF4990"/>
    <w:rsid w:val="1E0D0FBE"/>
    <w:rsid w:val="1E6C706C"/>
    <w:rsid w:val="1EDB10BC"/>
    <w:rsid w:val="1EE75CB3"/>
    <w:rsid w:val="1F0315B3"/>
    <w:rsid w:val="1F2F3158"/>
    <w:rsid w:val="1F5E021B"/>
    <w:rsid w:val="1F734108"/>
    <w:rsid w:val="1F9000F9"/>
    <w:rsid w:val="1F980D5B"/>
    <w:rsid w:val="202521EC"/>
    <w:rsid w:val="20337402"/>
    <w:rsid w:val="204D7D98"/>
    <w:rsid w:val="20E06E5E"/>
    <w:rsid w:val="217F0425"/>
    <w:rsid w:val="21983295"/>
    <w:rsid w:val="21B64DE5"/>
    <w:rsid w:val="21F4496F"/>
    <w:rsid w:val="21F81842"/>
    <w:rsid w:val="2211727A"/>
    <w:rsid w:val="226F1B0F"/>
    <w:rsid w:val="22AF6AE8"/>
    <w:rsid w:val="23002211"/>
    <w:rsid w:val="2305495A"/>
    <w:rsid w:val="231F0055"/>
    <w:rsid w:val="23333275"/>
    <w:rsid w:val="23492A98"/>
    <w:rsid w:val="23563685"/>
    <w:rsid w:val="23C056B5"/>
    <w:rsid w:val="23DA77C5"/>
    <w:rsid w:val="252655F0"/>
    <w:rsid w:val="25461985"/>
    <w:rsid w:val="257D4C7B"/>
    <w:rsid w:val="25BF34E6"/>
    <w:rsid w:val="25C44658"/>
    <w:rsid w:val="25DF5936"/>
    <w:rsid w:val="25F427A7"/>
    <w:rsid w:val="268564DD"/>
    <w:rsid w:val="26BE19EF"/>
    <w:rsid w:val="26C354FA"/>
    <w:rsid w:val="26E35634"/>
    <w:rsid w:val="27B02A4E"/>
    <w:rsid w:val="28180C8B"/>
    <w:rsid w:val="28A13B5E"/>
    <w:rsid w:val="28DB2597"/>
    <w:rsid w:val="28E55011"/>
    <w:rsid w:val="28F74D45"/>
    <w:rsid w:val="296F5223"/>
    <w:rsid w:val="29B22F3D"/>
    <w:rsid w:val="29D64697"/>
    <w:rsid w:val="29E5358E"/>
    <w:rsid w:val="2A19034C"/>
    <w:rsid w:val="2A585CB7"/>
    <w:rsid w:val="2A756869"/>
    <w:rsid w:val="2A8B3997"/>
    <w:rsid w:val="2A9A7DE2"/>
    <w:rsid w:val="2AEB7923"/>
    <w:rsid w:val="2B032EA1"/>
    <w:rsid w:val="2B1E2A5D"/>
    <w:rsid w:val="2B5A5B1B"/>
    <w:rsid w:val="2BC83CCA"/>
    <w:rsid w:val="2BF0264B"/>
    <w:rsid w:val="2C5000EA"/>
    <w:rsid w:val="2CFE48F4"/>
    <w:rsid w:val="2D0215E8"/>
    <w:rsid w:val="2D1346E5"/>
    <w:rsid w:val="2D2258A9"/>
    <w:rsid w:val="2D273053"/>
    <w:rsid w:val="2D564730"/>
    <w:rsid w:val="2D8868B3"/>
    <w:rsid w:val="2DBB27E5"/>
    <w:rsid w:val="2DD85145"/>
    <w:rsid w:val="2E214ECF"/>
    <w:rsid w:val="2E2255E5"/>
    <w:rsid w:val="2E29298E"/>
    <w:rsid w:val="2E5073D1"/>
    <w:rsid w:val="2E7B3D22"/>
    <w:rsid w:val="2ECE479A"/>
    <w:rsid w:val="2F0911DD"/>
    <w:rsid w:val="2F2B399A"/>
    <w:rsid w:val="2F301956"/>
    <w:rsid w:val="2FA71273"/>
    <w:rsid w:val="2FD85667"/>
    <w:rsid w:val="300D394C"/>
    <w:rsid w:val="309F1F4A"/>
    <w:rsid w:val="30BA383B"/>
    <w:rsid w:val="30E402A4"/>
    <w:rsid w:val="310E5321"/>
    <w:rsid w:val="31BF4199"/>
    <w:rsid w:val="32B53CA7"/>
    <w:rsid w:val="330305AB"/>
    <w:rsid w:val="339E0BDF"/>
    <w:rsid w:val="33BA0DDF"/>
    <w:rsid w:val="33BB353F"/>
    <w:rsid w:val="34711E4F"/>
    <w:rsid w:val="349F4C0E"/>
    <w:rsid w:val="34C73EB4"/>
    <w:rsid w:val="3588593F"/>
    <w:rsid w:val="359F0C3E"/>
    <w:rsid w:val="35A16764"/>
    <w:rsid w:val="35CB558F"/>
    <w:rsid w:val="360C62D3"/>
    <w:rsid w:val="36511F38"/>
    <w:rsid w:val="3656727C"/>
    <w:rsid w:val="36BD75F4"/>
    <w:rsid w:val="36E62C0E"/>
    <w:rsid w:val="370A20E7"/>
    <w:rsid w:val="37351F61"/>
    <w:rsid w:val="374C0952"/>
    <w:rsid w:val="37753CAD"/>
    <w:rsid w:val="37796D30"/>
    <w:rsid w:val="378E53F5"/>
    <w:rsid w:val="379B69EA"/>
    <w:rsid w:val="37CF03BD"/>
    <w:rsid w:val="38006A0F"/>
    <w:rsid w:val="380B24F4"/>
    <w:rsid w:val="38170F5F"/>
    <w:rsid w:val="385F20A5"/>
    <w:rsid w:val="3885236D"/>
    <w:rsid w:val="38D84841"/>
    <w:rsid w:val="39561614"/>
    <w:rsid w:val="39F71049"/>
    <w:rsid w:val="3ABA74BF"/>
    <w:rsid w:val="3AD873E6"/>
    <w:rsid w:val="3AE77F14"/>
    <w:rsid w:val="3B61493A"/>
    <w:rsid w:val="3B711301"/>
    <w:rsid w:val="3BC830AB"/>
    <w:rsid w:val="3C036298"/>
    <w:rsid w:val="3C235ECF"/>
    <w:rsid w:val="3C4C123E"/>
    <w:rsid w:val="3CBE64E0"/>
    <w:rsid w:val="3D704367"/>
    <w:rsid w:val="3E546A69"/>
    <w:rsid w:val="3E742C68"/>
    <w:rsid w:val="3F205643"/>
    <w:rsid w:val="3F9335C1"/>
    <w:rsid w:val="3FA4132B"/>
    <w:rsid w:val="3FD61700"/>
    <w:rsid w:val="3FDC3952"/>
    <w:rsid w:val="3FE61C22"/>
    <w:rsid w:val="40330901"/>
    <w:rsid w:val="4041635B"/>
    <w:rsid w:val="405D772B"/>
    <w:rsid w:val="40F612A6"/>
    <w:rsid w:val="411F73C9"/>
    <w:rsid w:val="41605419"/>
    <w:rsid w:val="41850CE8"/>
    <w:rsid w:val="43193DDE"/>
    <w:rsid w:val="43991826"/>
    <w:rsid w:val="43C72E47"/>
    <w:rsid w:val="44E64193"/>
    <w:rsid w:val="4517434D"/>
    <w:rsid w:val="452F5B3A"/>
    <w:rsid w:val="453A003B"/>
    <w:rsid w:val="455134B3"/>
    <w:rsid w:val="46270E78"/>
    <w:rsid w:val="46B1432D"/>
    <w:rsid w:val="475C073D"/>
    <w:rsid w:val="47777325"/>
    <w:rsid w:val="480908C5"/>
    <w:rsid w:val="48242B78"/>
    <w:rsid w:val="482A5921"/>
    <w:rsid w:val="48E70F1F"/>
    <w:rsid w:val="48FD7CFE"/>
    <w:rsid w:val="4901159C"/>
    <w:rsid w:val="491017DF"/>
    <w:rsid w:val="49430006"/>
    <w:rsid w:val="49C42EBA"/>
    <w:rsid w:val="49D547D7"/>
    <w:rsid w:val="49E54A1A"/>
    <w:rsid w:val="4A033AD8"/>
    <w:rsid w:val="4A3550EA"/>
    <w:rsid w:val="4A3C7778"/>
    <w:rsid w:val="4A5976DB"/>
    <w:rsid w:val="4A9B1CEA"/>
    <w:rsid w:val="4B215F25"/>
    <w:rsid w:val="4B28389B"/>
    <w:rsid w:val="4BD27220"/>
    <w:rsid w:val="4BEE4235"/>
    <w:rsid w:val="4C135C75"/>
    <w:rsid w:val="4C8A705D"/>
    <w:rsid w:val="4CC76658"/>
    <w:rsid w:val="4D05056F"/>
    <w:rsid w:val="4DA361BB"/>
    <w:rsid w:val="4E1744DB"/>
    <w:rsid w:val="4E6F0D56"/>
    <w:rsid w:val="4E824F2D"/>
    <w:rsid w:val="4E8A2C9F"/>
    <w:rsid w:val="4EF04F8F"/>
    <w:rsid w:val="4F2C7344"/>
    <w:rsid w:val="4F2D4B9B"/>
    <w:rsid w:val="4F895E47"/>
    <w:rsid w:val="505349ED"/>
    <w:rsid w:val="50772144"/>
    <w:rsid w:val="507B39D3"/>
    <w:rsid w:val="50AE0EB8"/>
    <w:rsid w:val="50B27620"/>
    <w:rsid w:val="50BE7D72"/>
    <w:rsid w:val="51050804"/>
    <w:rsid w:val="515B7CB7"/>
    <w:rsid w:val="51BA49DE"/>
    <w:rsid w:val="51C50B53"/>
    <w:rsid w:val="52481FEA"/>
    <w:rsid w:val="526A7E2A"/>
    <w:rsid w:val="529B480F"/>
    <w:rsid w:val="52AA5F47"/>
    <w:rsid w:val="52B2289F"/>
    <w:rsid w:val="52EF6953"/>
    <w:rsid w:val="5309315F"/>
    <w:rsid w:val="533B1B4E"/>
    <w:rsid w:val="546B5520"/>
    <w:rsid w:val="54F833D3"/>
    <w:rsid w:val="5591406E"/>
    <w:rsid w:val="55933CA0"/>
    <w:rsid w:val="55B13EB6"/>
    <w:rsid w:val="55DF0EB7"/>
    <w:rsid w:val="561601B1"/>
    <w:rsid w:val="568A7075"/>
    <w:rsid w:val="568B4B9B"/>
    <w:rsid w:val="56CA409E"/>
    <w:rsid w:val="56D57BE4"/>
    <w:rsid w:val="56F61E31"/>
    <w:rsid w:val="570F3718"/>
    <w:rsid w:val="571F7091"/>
    <w:rsid w:val="583A48D1"/>
    <w:rsid w:val="593A6404"/>
    <w:rsid w:val="59DB1995"/>
    <w:rsid w:val="5A9051F7"/>
    <w:rsid w:val="5AD365C8"/>
    <w:rsid w:val="5B647768"/>
    <w:rsid w:val="5B6F1DCA"/>
    <w:rsid w:val="5C0A6B94"/>
    <w:rsid w:val="5CCA40B3"/>
    <w:rsid w:val="5CCB7A9F"/>
    <w:rsid w:val="5D2E002E"/>
    <w:rsid w:val="5D95153B"/>
    <w:rsid w:val="5DB76275"/>
    <w:rsid w:val="5F013C4C"/>
    <w:rsid w:val="5F696BC2"/>
    <w:rsid w:val="5F814D8D"/>
    <w:rsid w:val="5FB94527"/>
    <w:rsid w:val="5FDB3F27"/>
    <w:rsid w:val="6032793E"/>
    <w:rsid w:val="60C6278F"/>
    <w:rsid w:val="612C0B5F"/>
    <w:rsid w:val="61F53ACA"/>
    <w:rsid w:val="623616DF"/>
    <w:rsid w:val="62586279"/>
    <w:rsid w:val="62CB4A0F"/>
    <w:rsid w:val="639C03D4"/>
    <w:rsid w:val="63BF4F18"/>
    <w:rsid w:val="63C43CE9"/>
    <w:rsid w:val="63FC79F7"/>
    <w:rsid w:val="646B1B68"/>
    <w:rsid w:val="6470717E"/>
    <w:rsid w:val="64A85604"/>
    <w:rsid w:val="64B846E1"/>
    <w:rsid w:val="6578684B"/>
    <w:rsid w:val="65D3683F"/>
    <w:rsid w:val="6666775D"/>
    <w:rsid w:val="66B617C0"/>
    <w:rsid w:val="66C7589F"/>
    <w:rsid w:val="66D460EA"/>
    <w:rsid w:val="66F83B86"/>
    <w:rsid w:val="68DD71D0"/>
    <w:rsid w:val="68E719ED"/>
    <w:rsid w:val="6A7929CD"/>
    <w:rsid w:val="6A813E93"/>
    <w:rsid w:val="6AB44268"/>
    <w:rsid w:val="6AD246EE"/>
    <w:rsid w:val="6AF15450"/>
    <w:rsid w:val="6B032AFA"/>
    <w:rsid w:val="6BD867A3"/>
    <w:rsid w:val="6C5A066F"/>
    <w:rsid w:val="6CCF01A7"/>
    <w:rsid w:val="6CF10909"/>
    <w:rsid w:val="6DF45878"/>
    <w:rsid w:val="6DF82D7C"/>
    <w:rsid w:val="6E8E3022"/>
    <w:rsid w:val="6E970D5B"/>
    <w:rsid w:val="6EAD3B51"/>
    <w:rsid w:val="6ED344A9"/>
    <w:rsid w:val="6FD26F3F"/>
    <w:rsid w:val="6FEE1FCA"/>
    <w:rsid w:val="6FFB5015"/>
    <w:rsid w:val="706C1141"/>
    <w:rsid w:val="70BF5715"/>
    <w:rsid w:val="70CA2896"/>
    <w:rsid w:val="70EB650A"/>
    <w:rsid w:val="719151A5"/>
    <w:rsid w:val="719427BE"/>
    <w:rsid w:val="71971DDF"/>
    <w:rsid w:val="71C1726B"/>
    <w:rsid w:val="726E6397"/>
    <w:rsid w:val="728409C4"/>
    <w:rsid w:val="72BA6194"/>
    <w:rsid w:val="7329156C"/>
    <w:rsid w:val="73351EF4"/>
    <w:rsid w:val="7442796E"/>
    <w:rsid w:val="750A785B"/>
    <w:rsid w:val="751F6782"/>
    <w:rsid w:val="76855891"/>
    <w:rsid w:val="76C60F80"/>
    <w:rsid w:val="76DA5057"/>
    <w:rsid w:val="76E063E5"/>
    <w:rsid w:val="771F2AC6"/>
    <w:rsid w:val="77AB69F3"/>
    <w:rsid w:val="77C655DB"/>
    <w:rsid w:val="780B56E4"/>
    <w:rsid w:val="7817324A"/>
    <w:rsid w:val="782E15C7"/>
    <w:rsid w:val="78676109"/>
    <w:rsid w:val="786F5C73"/>
    <w:rsid w:val="78866A63"/>
    <w:rsid w:val="78D22D18"/>
    <w:rsid w:val="793A6280"/>
    <w:rsid w:val="79B778D1"/>
    <w:rsid w:val="7A4F7B0A"/>
    <w:rsid w:val="7A5A025C"/>
    <w:rsid w:val="7A607EF5"/>
    <w:rsid w:val="7AAC0272"/>
    <w:rsid w:val="7AD941A7"/>
    <w:rsid w:val="7B1D237B"/>
    <w:rsid w:val="7B560A24"/>
    <w:rsid w:val="7BC25D04"/>
    <w:rsid w:val="7BDB0017"/>
    <w:rsid w:val="7C034AF0"/>
    <w:rsid w:val="7C2C729B"/>
    <w:rsid w:val="7C897E0E"/>
    <w:rsid w:val="7C8B6E0A"/>
    <w:rsid w:val="7CAA2001"/>
    <w:rsid w:val="7D372E3E"/>
    <w:rsid w:val="7D6A07B6"/>
    <w:rsid w:val="7D8349B7"/>
    <w:rsid w:val="7E203997"/>
    <w:rsid w:val="7E725C61"/>
    <w:rsid w:val="7EBC3294"/>
    <w:rsid w:val="7EF058D7"/>
    <w:rsid w:val="7F0C5773"/>
    <w:rsid w:val="7F6D27E0"/>
    <w:rsid w:val="7FDF6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2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6">
    <w:name w:val="heading 5"/>
    <w:basedOn w:val="1"/>
    <w:next w:val="1"/>
    <w:link w:val="28"/>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paragraph" w:styleId="7">
    <w:name w:val="heading 6"/>
    <w:basedOn w:val="1"/>
    <w:next w:val="1"/>
    <w:link w:val="29"/>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2"/>
    <w:unhideWhenUsed/>
    <w:qFormat/>
    <w:uiPriority w:val="0"/>
    <w:rPr>
      <w:rFonts w:ascii="宋体" w:eastAsia="宋体"/>
      <w:sz w:val="18"/>
      <w:szCs w:val="18"/>
    </w:rPr>
  </w:style>
  <w:style w:type="paragraph" w:styleId="9">
    <w:name w:val="annotation text"/>
    <w:basedOn w:val="1"/>
    <w:link w:val="44"/>
    <w:qFormat/>
    <w:uiPriority w:val="99"/>
    <w:pPr>
      <w:jc w:val="left"/>
    </w:pPr>
    <w:rPr>
      <w:rFonts w:ascii="Times New Roman" w:hAnsi="Times New Roman" w:eastAsia="宋体" w:cs="Times New Roman"/>
      <w:szCs w:val="24"/>
    </w:rPr>
  </w:style>
  <w:style w:type="paragraph" w:styleId="10">
    <w:name w:val="Balloon Text"/>
    <w:basedOn w:val="1"/>
    <w:link w:val="43"/>
    <w:semiHidden/>
    <w:unhideWhenUsed/>
    <w:qFormat/>
    <w:uiPriority w:val="99"/>
    <w:rPr>
      <w:sz w:val="18"/>
      <w:szCs w:val="18"/>
    </w:rPr>
  </w:style>
  <w:style w:type="paragraph" w:styleId="11">
    <w:name w:val="footer"/>
    <w:basedOn w:val="1"/>
    <w:link w:val="24"/>
    <w:unhideWhenUsed/>
    <w:qFormat/>
    <w:uiPriority w:val="0"/>
    <w:pPr>
      <w:tabs>
        <w:tab w:val="center" w:pos="4153"/>
        <w:tab w:val="right" w:pos="8306"/>
      </w:tabs>
      <w:snapToGrid w:val="0"/>
      <w:jc w:val="left"/>
    </w:pPr>
    <w:rPr>
      <w:sz w:val="18"/>
      <w:szCs w:val="18"/>
    </w:rPr>
  </w:style>
  <w:style w:type="paragraph" w:styleId="12">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9"/>
    <w:next w:val="9"/>
    <w:link w:val="51"/>
    <w:semiHidden/>
    <w:unhideWhenUsed/>
    <w:qFormat/>
    <w:uiPriority w:val="99"/>
    <w:rPr>
      <w:rFonts w:asciiTheme="minorHAnsi" w:hAnsiTheme="minorHAnsi" w:eastAsiaTheme="minorEastAsia" w:cstheme="minorBidi"/>
      <w:b/>
      <w:bCs/>
      <w:szCs w:val="22"/>
    </w:r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qFormat/>
    <w:uiPriority w:val="99"/>
    <w:rPr>
      <w:sz w:val="21"/>
      <w:szCs w:val="21"/>
    </w:rPr>
  </w:style>
  <w:style w:type="character" w:customStyle="1" w:styleId="23">
    <w:name w:val="页眉 Char"/>
    <w:basedOn w:val="19"/>
    <w:link w:val="12"/>
    <w:qFormat/>
    <w:uiPriority w:val="0"/>
    <w:rPr>
      <w:sz w:val="18"/>
      <w:szCs w:val="18"/>
    </w:rPr>
  </w:style>
  <w:style w:type="character" w:customStyle="1" w:styleId="24">
    <w:name w:val="页脚 Char"/>
    <w:basedOn w:val="19"/>
    <w:link w:val="11"/>
    <w:qFormat/>
    <w:uiPriority w:val="0"/>
    <w:rPr>
      <w:sz w:val="18"/>
      <w:szCs w:val="18"/>
    </w:rPr>
  </w:style>
  <w:style w:type="character" w:customStyle="1" w:styleId="25">
    <w:name w:val="标题 1 Char"/>
    <w:basedOn w:val="19"/>
    <w:link w:val="2"/>
    <w:qFormat/>
    <w:uiPriority w:val="9"/>
    <w:rPr>
      <w:rFonts w:ascii="宋体" w:hAnsi="宋体" w:eastAsia="宋体" w:cs="宋体"/>
      <w:b/>
      <w:bCs/>
      <w:kern w:val="36"/>
      <w:sz w:val="48"/>
      <w:szCs w:val="48"/>
    </w:rPr>
  </w:style>
  <w:style w:type="character" w:customStyle="1" w:styleId="26">
    <w:name w:val="标题 3 Char"/>
    <w:basedOn w:val="19"/>
    <w:link w:val="4"/>
    <w:qFormat/>
    <w:uiPriority w:val="9"/>
    <w:rPr>
      <w:rFonts w:ascii="宋体" w:hAnsi="宋体" w:eastAsia="宋体" w:cs="宋体"/>
      <w:b/>
      <w:bCs/>
      <w:kern w:val="0"/>
      <w:sz w:val="27"/>
      <w:szCs w:val="27"/>
    </w:rPr>
  </w:style>
  <w:style w:type="character" w:customStyle="1" w:styleId="27">
    <w:name w:val="标题 4 Char"/>
    <w:basedOn w:val="19"/>
    <w:link w:val="5"/>
    <w:qFormat/>
    <w:uiPriority w:val="9"/>
    <w:rPr>
      <w:rFonts w:ascii="宋体" w:hAnsi="宋体" w:eastAsia="宋体" w:cs="宋体"/>
      <w:b/>
      <w:bCs/>
      <w:kern w:val="0"/>
      <w:sz w:val="24"/>
      <w:szCs w:val="24"/>
    </w:rPr>
  </w:style>
  <w:style w:type="character" w:customStyle="1" w:styleId="28">
    <w:name w:val="标题 5 Char"/>
    <w:basedOn w:val="19"/>
    <w:link w:val="6"/>
    <w:qFormat/>
    <w:uiPriority w:val="9"/>
    <w:rPr>
      <w:rFonts w:ascii="宋体" w:hAnsi="宋体" w:eastAsia="宋体" w:cs="宋体"/>
      <w:b/>
      <w:bCs/>
      <w:kern w:val="0"/>
      <w:sz w:val="20"/>
      <w:szCs w:val="20"/>
    </w:rPr>
  </w:style>
  <w:style w:type="character" w:customStyle="1" w:styleId="29">
    <w:name w:val="标题 6 Char"/>
    <w:basedOn w:val="19"/>
    <w:link w:val="7"/>
    <w:qFormat/>
    <w:uiPriority w:val="9"/>
    <w:rPr>
      <w:rFonts w:ascii="宋体" w:hAnsi="宋体" w:eastAsia="宋体" w:cs="宋体"/>
      <w:b/>
      <w:bCs/>
      <w:kern w:val="0"/>
      <w:sz w:val="15"/>
      <w:szCs w:val="15"/>
    </w:rPr>
  </w:style>
  <w:style w:type="character" w:customStyle="1" w:styleId="30">
    <w:name w:val="customize__projectname"/>
    <w:basedOn w:val="19"/>
    <w:qFormat/>
    <w:uiPriority w:val="0"/>
  </w:style>
  <w:style w:type="character" w:customStyle="1" w:styleId="31">
    <w:name w:val="customize_recordno"/>
    <w:basedOn w:val="19"/>
    <w:qFormat/>
    <w:uiPriority w:val="0"/>
  </w:style>
  <w:style w:type="character" w:customStyle="1" w:styleId="32">
    <w:name w:val="customize_project_code"/>
    <w:basedOn w:val="19"/>
    <w:qFormat/>
    <w:uiPriority w:val="0"/>
  </w:style>
  <w:style w:type="character" w:customStyle="1" w:styleId="33">
    <w:name w:val="customize_cgr"/>
    <w:basedOn w:val="19"/>
    <w:qFormat/>
    <w:uiPriority w:val="0"/>
  </w:style>
  <w:style w:type="character" w:customStyle="1" w:styleId="34">
    <w:name w:val="customize_agent"/>
    <w:basedOn w:val="19"/>
    <w:qFormat/>
    <w:uiPriority w:val="0"/>
  </w:style>
  <w:style w:type="character" w:customStyle="1" w:styleId="35">
    <w:name w:val="customize_cgrdz"/>
    <w:basedOn w:val="19"/>
    <w:qFormat/>
    <w:uiPriority w:val="0"/>
  </w:style>
  <w:style w:type="character" w:customStyle="1" w:styleId="36">
    <w:name w:val="customize_cgrdh"/>
    <w:basedOn w:val="19"/>
    <w:qFormat/>
    <w:uiPriority w:val="0"/>
  </w:style>
  <w:style w:type="character" w:customStyle="1" w:styleId="37">
    <w:name w:val="customize_agentadd"/>
    <w:basedOn w:val="19"/>
    <w:qFormat/>
    <w:uiPriority w:val="0"/>
  </w:style>
  <w:style w:type="character" w:customStyle="1" w:styleId="38">
    <w:name w:val="customize_agenttel"/>
    <w:basedOn w:val="19"/>
    <w:qFormat/>
    <w:uiPriority w:val="0"/>
  </w:style>
  <w:style w:type="character" w:customStyle="1" w:styleId="39">
    <w:name w:val="editlist"/>
    <w:basedOn w:val="19"/>
    <w:qFormat/>
    <w:uiPriority w:val="0"/>
  </w:style>
  <w:style w:type="character" w:customStyle="1" w:styleId="40">
    <w:name w:val="edittexttarea"/>
    <w:basedOn w:val="19"/>
    <w:qFormat/>
    <w:uiPriority w:val="0"/>
  </w:style>
  <w:style w:type="character" w:customStyle="1" w:styleId="41">
    <w:name w:val="editinput"/>
    <w:basedOn w:val="19"/>
    <w:qFormat/>
    <w:uiPriority w:val="0"/>
  </w:style>
  <w:style w:type="character" w:customStyle="1" w:styleId="42">
    <w:name w:val="文档结构图 Char"/>
    <w:basedOn w:val="19"/>
    <w:link w:val="8"/>
    <w:qFormat/>
    <w:uiPriority w:val="0"/>
    <w:rPr>
      <w:rFonts w:ascii="宋体" w:eastAsia="宋体"/>
      <w:sz w:val="18"/>
      <w:szCs w:val="18"/>
    </w:rPr>
  </w:style>
  <w:style w:type="character" w:customStyle="1" w:styleId="43">
    <w:name w:val="批注框文本 Char"/>
    <w:basedOn w:val="19"/>
    <w:link w:val="10"/>
    <w:semiHidden/>
    <w:qFormat/>
    <w:uiPriority w:val="99"/>
    <w:rPr>
      <w:sz w:val="18"/>
      <w:szCs w:val="18"/>
    </w:rPr>
  </w:style>
  <w:style w:type="character" w:customStyle="1" w:styleId="44">
    <w:name w:val="批注文字 Char"/>
    <w:basedOn w:val="19"/>
    <w:link w:val="9"/>
    <w:qFormat/>
    <w:uiPriority w:val="99"/>
    <w:rPr>
      <w:rFonts w:ascii="Times New Roman" w:hAnsi="Times New Roman" w:eastAsia="宋体" w:cs="Times New Roman"/>
      <w:szCs w:val="24"/>
    </w:rPr>
  </w:style>
  <w:style w:type="character" w:customStyle="1" w:styleId="45">
    <w:name w:val="标题 2 Char"/>
    <w:basedOn w:val="19"/>
    <w:link w:val="3"/>
    <w:qFormat/>
    <w:uiPriority w:val="9"/>
    <w:rPr>
      <w:rFonts w:asciiTheme="majorHAnsi" w:hAnsiTheme="majorHAnsi" w:eastAsiaTheme="majorEastAsia" w:cstheme="majorBidi"/>
      <w:b/>
      <w:bCs/>
      <w:sz w:val="32"/>
      <w:szCs w:val="32"/>
    </w:rPr>
  </w:style>
  <w:style w:type="paragraph" w:styleId="46">
    <w:name w:val="List Paragraph"/>
    <w:basedOn w:val="1"/>
    <w:qFormat/>
    <w:uiPriority w:val="34"/>
    <w:pPr>
      <w:ind w:firstLine="420" w:firstLineChars="200"/>
    </w:pPr>
  </w:style>
  <w:style w:type="paragraph" w:customStyle="1" w:styleId="47">
    <w:name w:val="TOC 标题1"/>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table" w:customStyle="1" w:styleId="48">
    <w:name w:val="网格型1"/>
    <w:basedOn w:val="17"/>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9">
    <w:name w:val="网格型31"/>
    <w:basedOn w:val="1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0">
    <w:name w:val="网格型4"/>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1">
    <w:name w:val="批注主题 Char"/>
    <w:basedOn w:val="44"/>
    <w:link w:val="16"/>
    <w:semiHidden/>
    <w:qFormat/>
    <w:uiPriority w:val="99"/>
    <w:rPr>
      <w:rFonts w:ascii="Times New Roman" w:hAnsi="Times New Roman" w:eastAsia="宋体" w:cs="Times New Roman"/>
      <w:b/>
      <w:bCs/>
      <w:kern w:val="2"/>
      <w:sz w:val="21"/>
      <w:szCs w:val="22"/>
    </w:rPr>
  </w:style>
  <w:style w:type="paragraph" w:customStyle="1" w:styleId="52">
    <w:name w:val="col-sm-1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3">
    <w:name w:val="col-sm-6"/>
    <w:basedOn w:val="19"/>
    <w:qFormat/>
    <w:uiPriority w:val="0"/>
  </w:style>
  <w:style w:type="paragraph" w:customStyle="1" w:styleId="54">
    <w:name w:val="null3"/>
    <w:hidden/>
    <w:qFormat/>
    <w:uiPriority w:val="0"/>
    <w:rPr>
      <w:rFonts w:hint="eastAsia" w:asciiTheme="minorHAnsi" w:hAnsiTheme="minorHAnsi" w:eastAsiaTheme="minorEastAsia" w:cstheme="minorBidi"/>
      <w:lang w:val="en-US" w:eastAsia="zh-CN" w:bidi="ar-SA"/>
    </w:rPr>
  </w:style>
  <w:style w:type="character" w:customStyle="1" w:styleId="55">
    <w:name w:val="font21"/>
    <w:basedOn w:val="19"/>
    <w:qFormat/>
    <w:uiPriority w:val="0"/>
    <w:rPr>
      <w:rFonts w:ascii="宋体" w:hAnsi="宋体" w:eastAsia="宋体" w:cs="宋体"/>
      <w:color w:val="000000"/>
      <w:sz w:val="24"/>
      <w:szCs w:val="24"/>
      <w:u w:val="none"/>
    </w:rPr>
  </w:style>
  <w:style w:type="character" w:customStyle="1" w:styleId="56">
    <w:name w:val="font01"/>
    <w:basedOn w:val="19"/>
    <w:qFormat/>
    <w:uiPriority w:val="0"/>
    <w:rPr>
      <w:rFonts w:hint="default" w:ascii="Arial" w:hAnsi="Arial" w:cs="Arial"/>
      <w:color w:val="000000"/>
      <w:sz w:val="22"/>
      <w:szCs w:val="22"/>
      <w:u w:val="none"/>
    </w:rPr>
  </w:style>
  <w:style w:type="character" w:customStyle="1" w:styleId="57">
    <w:name w:val="font1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70407-2FE2-40DC-AD22-F54136CD536E}">
  <ds:schemaRefs/>
</ds:datastoreItem>
</file>

<file path=docProps/app.xml><?xml version="1.0" encoding="utf-8"?>
<Properties xmlns="http://schemas.openxmlformats.org/officeDocument/2006/extended-properties" xmlns:vt="http://schemas.openxmlformats.org/officeDocument/2006/docPropsVTypes">
  <Template>Normal</Template>
  <Company>cyu</Company>
  <Pages>126</Pages>
  <Words>2812</Words>
  <Characters>2995</Characters>
  <Lines>470</Lines>
  <Paragraphs>132</Paragraphs>
  <TotalTime>3</TotalTime>
  <ScaleCrop>false</ScaleCrop>
  <LinksUpToDate>false</LinksUpToDate>
  <CharactersWithSpaces>3092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2024-10-03T11:54:00Z</dcterms:created>
  <dc:creator>Administrator</dc:creator>
  <cp:lastModifiedBy>达</cp:lastModifiedBy>
  <cp:lastPrinted>2022-08-21T02:58:00Z</cp:lastPrinted>
  <dcterms:modified xsi:type="dcterms:W3CDTF">2026-03-03T06:54:21Z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A00CD0FDF1AA480880478B5E3FDA6CB8_13</vt:lpwstr>
  </property>
  <property fmtid="{D5CDD505-2E9C-101B-9397-08002B2CF9AE}" pid="4" name="KSOTemplateDocerSaveRecord">
    <vt:lpwstr>eyJoZGlkIjoiNzliY2RiZWIwNjU2Mjk4NTVjMzcxNWQ4ZmVkMzM5ODYiLCJ1c2VySWQiOiI0OTA3NTM3NzgifQ==</vt:lpwstr>
  </property>
</Properties>
</file>